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C3F9C4" w14:textId="6C9274EF" w:rsidR="00B7376D" w:rsidRPr="00B14FCB" w:rsidRDefault="00B7376D" w:rsidP="00B7376D">
      <w:pPr>
        <w:bidi w:val="0"/>
        <w:spacing w:line="276" w:lineRule="auto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</w:t>
      </w:r>
      <w:r w:rsidRPr="00B14F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B14FCB">
        <w:rPr>
          <w:rFonts w:asciiTheme="majorBidi" w:hAnsiTheme="majorBidi" w:cstheme="majorBidi"/>
          <w:b/>
          <w:bCs/>
          <w:sz w:val="24"/>
          <w:szCs w:val="24"/>
        </w:rPr>
        <w:t>. Questions investigating the perception of biosimilars and non-medical switching</w:t>
      </w:r>
      <w:bookmarkStart w:id="0" w:name="_GoBack"/>
      <w:bookmarkEnd w:id="0"/>
    </w:p>
    <w:tbl>
      <w:tblPr>
        <w:tblStyle w:val="TableGrid"/>
        <w:tblW w:w="694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"/>
        <w:gridCol w:w="27"/>
        <w:gridCol w:w="6640"/>
      </w:tblGrid>
      <w:tr w:rsidR="00B7376D" w:rsidRPr="00B14FCB" w14:paraId="6B88082D" w14:textId="77777777" w:rsidTr="002B4514">
        <w:trPr>
          <w:jc w:val="center"/>
        </w:trPr>
        <w:tc>
          <w:tcPr>
            <w:tcW w:w="3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5183C9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40" w:type="dxa"/>
            <w:tcBorders>
              <w:top w:val="single" w:sz="4" w:space="0" w:color="auto"/>
              <w:bottom w:val="single" w:sz="4" w:space="0" w:color="auto"/>
            </w:tcBorders>
          </w:tcPr>
          <w:p w14:paraId="4439769C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Questions investigating the perception and experience of biosimilars</w:t>
            </w:r>
          </w:p>
        </w:tc>
      </w:tr>
      <w:tr w:rsidR="00B7376D" w:rsidRPr="00B14FCB" w14:paraId="4BF8C1F5" w14:textId="77777777" w:rsidTr="002B4514">
        <w:trPr>
          <w:jc w:val="center"/>
        </w:trPr>
        <w:tc>
          <w:tcPr>
            <w:tcW w:w="306" w:type="dxa"/>
            <w:gridSpan w:val="2"/>
            <w:tcBorders>
              <w:top w:val="single" w:sz="4" w:space="0" w:color="auto"/>
            </w:tcBorders>
          </w:tcPr>
          <w:p w14:paraId="5CAE8774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640" w:type="dxa"/>
            <w:tcBorders>
              <w:top w:val="single" w:sz="4" w:space="0" w:color="auto"/>
            </w:tcBorders>
          </w:tcPr>
          <w:p w14:paraId="2E8F5691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How do you grade the level of your knowledge on biosimilars</w:t>
            </w:r>
          </w:p>
        </w:tc>
      </w:tr>
      <w:tr w:rsidR="00B7376D" w:rsidRPr="00B14FCB" w14:paraId="106B3B5F" w14:textId="77777777" w:rsidTr="002B4514">
        <w:trPr>
          <w:jc w:val="center"/>
        </w:trPr>
        <w:tc>
          <w:tcPr>
            <w:tcW w:w="306" w:type="dxa"/>
            <w:gridSpan w:val="2"/>
          </w:tcPr>
          <w:p w14:paraId="2135A035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640" w:type="dxa"/>
          </w:tcPr>
          <w:p w14:paraId="214FE0AE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Do you believe the evidence published on biosimilar is adequate to grant an approval?</w:t>
            </w:r>
          </w:p>
        </w:tc>
      </w:tr>
      <w:tr w:rsidR="00B7376D" w:rsidRPr="00B14FCB" w14:paraId="0FD4F514" w14:textId="77777777" w:rsidTr="002B4514">
        <w:trPr>
          <w:jc w:val="center"/>
        </w:trPr>
        <w:tc>
          <w:tcPr>
            <w:tcW w:w="306" w:type="dxa"/>
            <w:gridSpan w:val="2"/>
          </w:tcPr>
          <w:p w14:paraId="7CD15BE9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640" w:type="dxa"/>
          </w:tcPr>
          <w:p w14:paraId="06C006E3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Do you believe the evidence published on biosimilars is adequate to grant extrapolation for other indications?</w:t>
            </w:r>
          </w:p>
        </w:tc>
      </w:tr>
      <w:tr w:rsidR="00B7376D" w:rsidRPr="00B14FCB" w14:paraId="64D44A57" w14:textId="77777777" w:rsidTr="002B4514">
        <w:trPr>
          <w:jc w:val="center"/>
        </w:trPr>
        <w:tc>
          <w:tcPr>
            <w:tcW w:w="306" w:type="dxa"/>
            <w:gridSpan w:val="2"/>
          </w:tcPr>
          <w:p w14:paraId="77CAC619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640" w:type="dxa"/>
          </w:tcPr>
          <w:p w14:paraId="391E9203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What is the likelihood of prescribing a biosimilar to an eligible RA patient at the current moment (Likert 1-10)?</w:t>
            </w:r>
          </w:p>
        </w:tc>
      </w:tr>
      <w:tr w:rsidR="00B7376D" w:rsidRPr="00B14FCB" w14:paraId="56523C2F" w14:textId="77777777" w:rsidTr="002B4514">
        <w:trPr>
          <w:jc w:val="center"/>
        </w:trPr>
        <w:tc>
          <w:tcPr>
            <w:tcW w:w="306" w:type="dxa"/>
            <w:gridSpan w:val="2"/>
          </w:tcPr>
          <w:p w14:paraId="3F34CFDC" w14:textId="77777777" w:rsidR="00B7376D" w:rsidRPr="00B14FCB" w:rsidRDefault="00B7376D" w:rsidP="00B7376D">
            <w:pPr>
              <w:autoSpaceDE w:val="0"/>
              <w:autoSpaceDN w:val="0"/>
              <w:bidi w:val="0"/>
              <w:adjustRightInd w:val="0"/>
              <w:spacing w:after="24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640" w:type="dxa"/>
          </w:tcPr>
          <w:p w14:paraId="6817061C" w14:textId="77777777" w:rsidR="00B7376D" w:rsidRPr="00B14FCB" w:rsidRDefault="00B7376D" w:rsidP="00B7376D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What is the duration of use of biosimilars in a small group of RA patients before you will feel comfortable prescribing it in a large scale of patients?</w:t>
            </w:r>
          </w:p>
        </w:tc>
      </w:tr>
      <w:tr w:rsidR="00B7376D" w:rsidRPr="00B14FCB" w14:paraId="45A0F7E4" w14:textId="77777777" w:rsidTr="002B4514">
        <w:trPr>
          <w:jc w:val="center"/>
        </w:trPr>
        <w:tc>
          <w:tcPr>
            <w:tcW w:w="306" w:type="dxa"/>
            <w:gridSpan w:val="2"/>
          </w:tcPr>
          <w:p w14:paraId="2BDBB303" w14:textId="77777777" w:rsidR="00B7376D" w:rsidRPr="00B14FCB" w:rsidRDefault="00B7376D" w:rsidP="00B7376D">
            <w:pPr>
              <w:autoSpaceDE w:val="0"/>
              <w:autoSpaceDN w:val="0"/>
              <w:bidi w:val="0"/>
              <w:adjustRightInd w:val="0"/>
              <w:spacing w:after="24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6640" w:type="dxa"/>
          </w:tcPr>
          <w:p w14:paraId="266F4F0F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What are the top 3 factors that would prevent the use of biosimilars?</w:t>
            </w:r>
          </w:p>
          <w:p w14:paraId="1738CB8B" w14:textId="77777777" w:rsidR="00B7376D" w:rsidRPr="00B14FCB" w:rsidRDefault="00B7376D" w:rsidP="00B7376D">
            <w:pPr>
              <w:pStyle w:val="ListParagraph"/>
              <w:autoSpaceDE w:val="0"/>
              <w:autoSpaceDN w:val="0"/>
              <w:bidi w:val="0"/>
              <w:adjustRightInd w:val="0"/>
              <w:spacing w:after="240"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 xml:space="preserve">□ Doubts on similarity to original molecule </w:t>
            </w:r>
            <w:r w:rsidRPr="00B14FCB">
              <w:rPr>
                <w:rFonts w:asciiTheme="majorBidi" w:hAnsiTheme="majorBidi" w:cstheme="majorBidi"/>
                <w:sz w:val="24"/>
                <w:szCs w:val="24"/>
              </w:rPr>
              <w:tab/>
            </w:r>
            <w:r w:rsidRPr="00B14FCB">
              <w:rPr>
                <w:rFonts w:asciiTheme="majorBidi" w:hAnsiTheme="majorBidi" w:cstheme="majorBidi"/>
                <w:sz w:val="24"/>
                <w:szCs w:val="24"/>
              </w:rPr>
              <w:tab/>
            </w:r>
          </w:p>
          <w:p w14:paraId="78E545D8" w14:textId="77777777" w:rsidR="00B7376D" w:rsidRPr="00B14FCB" w:rsidRDefault="00B7376D" w:rsidP="00B7376D">
            <w:pPr>
              <w:pStyle w:val="ListParagraph"/>
              <w:autoSpaceDE w:val="0"/>
              <w:autoSpaceDN w:val="0"/>
              <w:bidi w:val="0"/>
              <w:adjustRightInd w:val="0"/>
              <w:spacing w:after="240"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 xml:space="preserve">□ Inadequate safety and efficacy profile/data </w:t>
            </w:r>
          </w:p>
          <w:p w14:paraId="0EB57212" w14:textId="77777777" w:rsidR="00B7376D" w:rsidRPr="00B14FCB" w:rsidRDefault="00B7376D" w:rsidP="00B7376D">
            <w:pPr>
              <w:pStyle w:val="ListParagraph"/>
              <w:autoSpaceDE w:val="0"/>
              <w:autoSpaceDN w:val="0"/>
              <w:bidi w:val="0"/>
              <w:adjustRightInd w:val="0"/>
              <w:spacing w:after="240"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 xml:space="preserve">□ Lack of long-term data </w:t>
            </w:r>
          </w:p>
          <w:p w14:paraId="61E5E717" w14:textId="77777777" w:rsidR="00B7376D" w:rsidRPr="00B14FCB" w:rsidRDefault="00B7376D" w:rsidP="00B7376D">
            <w:pPr>
              <w:pStyle w:val="ListParagraph"/>
              <w:autoSpaceDE w:val="0"/>
              <w:autoSpaceDN w:val="0"/>
              <w:bidi w:val="0"/>
              <w:adjustRightInd w:val="0"/>
              <w:spacing w:after="240"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□ Lack of national treatment guidelines recommending the use of biosimilars</w:t>
            </w:r>
          </w:p>
          <w:p w14:paraId="4BDF534B" w14:textId="77777777" w:rsidR="00B7376D" w:rsidRPr="00B14FCB" w:rsidRDefault="00B7376D" w:rsidP="00B7376D">
            <w:pPr>
              <w:pStyle w:val="ListParagraph"/>
              <w:autoSpaceDE w:val="0"/>
              <w:autoSpaceDN w:val="0"/>
              <w:bidi w:val="0"/>
              <w:adjustRightInd w:val="0"/>
              <w:spacing w:after="240"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 xml:space="preserve">□ Lack of data from local country/market </w:t>
            </w:r>
          </w:p>
          <w:p w14:paraId="518B3A57" w14:textId="77777777" w:rsidR="00B7376D" w:rsidRPr="00B14FCB" w:rsidRDefault="00B7376D" w:rsidP="00B7376D">
            <w:pPr>
              <w:pStyle w:val="ListParagraph"/>
              <w:autoSpaceDE w:val="0"/>
              <w:autoSpaceDN w:val="0"/>
              <w:bidi w:val="0"/>
              <w:adjustRightInd w:val="0"/>
              <w:spacing w:after="240"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 xml:space="preserve">□ Inadequate cost-savings (compared to branded biologics) </w:t>
            </w:r>
          </w:p>
          <w:p w14:paraId="6549EA21" w14:textId="77777777" w:rsidR="00B7376D" w:rsidRPr="00B14FCB" w:rsidRDefault="00B7376D" w:rsidP="00B7376D">
            <w:pPr>
              <w:pStyle w:val="ListParagraph"/>
              <w:autoSpaceDE w:val="0"/>
              <w:autoSpaceDN w:val="0"/>
              <w:bidi w:val="0"/>
              <w:adjustRightInd w:val="0"/>
              <w:spacing w:after="240"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bookmarkStart w:id="1" w:name="_Hlk503649302"/>
            <w:r w:rsidRPr="00B14FCB">
              <w:rPr>
                <w:rFonts w:asciiTheme="majorBidi" w:hAnsiTheme="majorBidi" w:cstheme="majorBidi"/>
                <w:sz w:val="24"/>
                <w:szCs w:val="24"/>
              </w:rPr>
              <w:t>□</w:t>
            </w:r>
            <w:bookmarkEnd w:id="1"/>
            <w:r w:rsidRPr="00B14FCB">
              <w:rPr>
                <w:rFonts w:asciiTheme="majorBidi" w:hAnsiTheme="majorBidi" w:cstheme="majorBidi"/>
                <w:sz w:val="24"/>
                <w:szCs w:val="24"/>
              </w:rPr>
              <w:t xml:space="preserve"> Lack of trust/confidence in the product manufacturer</w:t>
            </w:r>
          </w:p>
          <w:p w14:paraId="5FA7DB9D" w14:textId="77777777" w:rsidR="00B7376D" w:rsidRPr="00B14FCB" w:rsidRDefault="00B7376D" w:rsidP="00B7376D">
            <w:pPr>
              <w:pStyle w:val="ListParagraph"/>
              <w:autoSpaceDE w:val="0"/>
              <w:autoSpaceDN w:val="0"/>
              <w:bidi w:val="0"/>
              <w:adjustRightInd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□ No need to use biosimilars in my practice</w:t>
            </w:r>
          </w:p>
        </w:tc>
      </w:tr>
      <w:tr w:rsidR="00B7376D" w:rsidRPr="00B14FCB" w14:paraId="043E70AD" w14:textId="77777777" w:rsidTr="002B4514">
        <w:trPr>
          <w:jc w:val="center"/>
        </w:trPr>
        <w:tc>
          <w:tcPr>
            <w:tcW w:w="279" w:type="dxa"/>
            <w:tcBorders>
              <w:top w:val="single" w:sz="4" w:space="0" w:color="auto"/>
              <w:bottom w:val="single" w:sz="4" w:space="0" w:color="auto"/>
            </w:tcBorders>
          </w:tcPr>
          <w:p w14:paraId="4B52C835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666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1D7860D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Questions investigating the knowledge and perception of non-medical switching.</w:t>
            </w:r>
          </w:p>
        </w:tc>
      </w:tr>
      <w:tr w:rsidR="00B7376D" w:rsidRPr="00B14FCB" w14:paraId="4C7CC5A6" w14:textId="77777777" w:rsidTr="002B4514">
        <w:trPr>
          <w:jc w:val="center"/>
        </w:trPr>
        <w:tc>
          <w:tcPr>
            <w:tcW w:w="279" w:type="dxa"/>
            <w:tcBorders>
              <w:top w:val="single" w:sz="4" w:space="0" w:color="auto"/>
            </w:tcBorders>
          </w:tcPr>
          <w:p w14:paraId="6A75490E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6667" w:type="dxa"/>
            <w:gridSpan w:val="2"/>
            <w:tcBorders>
              <w:top w:val="single" w:sz="4" w:space="0" w:color="auto"/>
            </w:tcBorders>
          </w:tcPr>
          <w:p w14:paraId="30807E5F" w14:textId="77777777" w:rsidR="00B7376D" w:rsidRPr="00B14FCB" w:rsidRDefault="00B7376D" w:rsidP="00B7376D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Did you attempt non-medical switching in any of your patients before?</w:t>
            </w:r>
          </w:p>
        </w:tc>
      </w:tr>
      <w:tr w:rsidR="00B7376D" w:rsidRPr="00B14FCB" w14:paraId="1C403E3D" w14:textId="77777777" w:rsidTr="002B4514">
        <w:trPr>
          <w:trHeight w:val="782"/>
          <w:jc w:val="center"/>
        </w:trPr>
        <w:tc>
          <w:tcPr>
            <w:tcW w:w="279" w:type="dxa"/>
          </w:tcPr>
          <w:p w14:paraId="69B7418D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667" w:type="dxa"/>
            <w:gridSpan w:val="2"/>
          </w:tcPr>
          <w:p w14:paraId="365AACAB" w14:textId="77777777" w:rsidR="00B7376D" w:rsidRPr="00B14FCB" w:rsidRDefault="00B7376D" w:rsidP="00B7376D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If yes: please list the most common reason(s):</w:t>
            </w:r>
          </w:p>
          <w:p w14:paraId="4F9EEBEB" w14:textId="77777777" w:rsidR="00B7376D" w:rsidRPr="00B14FCB" w:rsidRDefault="00B7376D" w:rsidP="00B7376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Coverage/insurance</w:t>
            </w:r>
          </w:p>
          <w:p w14:paraId="1ECD815F" w14:textId="77777777" w:rsidR="00B7376D" w:rsidRPr="00B14FCB" w:rsidRDefault="00B7376D" w:rsidP="00B7376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Drug unavailability</w:t>
            </w:r>
            <w:r w:rsidRPr="00B14FC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</w:p>
          <w:p w14:paraId="4CE8DBAC" w14:textId="77777777" w:rsidR="00B7376D" w:rsidRPr="00B14FCB" w:rsidRDefault="00B7376D" w:rsidP="00B7376D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Patient preference</w:t>
            </w:r>
          </w:p>
        </w:tc>
      </w:tr>
      <w:tr w:rsidR="00B7376D" w:rsidRPr="00B14FCB" w14:paraId="7E225891" w14:textId="77777777" w:rsidTr="002B4514">
        <w:trPr>
          <w:jc w:val="center"/>
        </w:trPr>
        <w:tc>
          <w:tcPr>
            <w:tcW w:w="279" w:type="dxa"/>
          </w:tcPr>
          <w:p w14:paraId="67A05B16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6667" w:type="dxa"/>
            <w:gridSpan w:val="2"/>
          </w:tcPr>
          <w:p w14:paraId="0DD34C4A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Do you believe that non-medical switching can be harmful to patients?</w:t>
            </w:r>
          </w:p>
        </w:tc>
      </w:tr>
      <w:tr w:rsidR="00B7376D" w:rsidRPr="00B14FCB" w14:paraId="7BD135D3" w14:textId="77777777" w:rsidTr="002B4514">
        <w:trPr>
          <w:jc w:val="center"/>
        </w:trPr>
        <w:tc>
          <w:tcPr>
            <w:tcW w:w="279" w:type="dxa"/>
          </w:tcPr>
          <w:p w14:paraId="06ACC0E5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6667" w:type="dxa"/>
            <w:gridSpan w:val="2"/>
          </w:tcPr>
          <w:p w14:paraId="2C70BB61" w14:textId="77777777" w:rsidR="00B7376D" w:rsidRPr="00B14FCB" w:rsidRDefault="00B7376D" w:rsidP="00B7376D">
            <w:pPr>
              <w:pStyle w:val="ListParagraph"/>
              <w:bidi w:val="0"/>
              <w:spacing w:line="276" w:lineRule="auto"/>
              <w:ind w:left="0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Do you believe that non-medical switching will lead to significant cost-saving?</w:t>
            </w:r>
          </w:p>
        </w:tc>
      </w:tr>
      <w:tr w:rsidR="00B7376D" w:rsidRPr="00B14FCB" w14:paraId="0480396C" w14:textId="77777777" w:rsidTr="002B4514">
        <w:trPr>
          <w:jc w:val="center"/>
        </w:trPr>
        <w:tc>
          <w:tcPr>
            <w:tcW w:w="279" w:type="dxa"/>
          </w:tcPr>
          <w:p w14:paraId="240AEBB2" w14:textId="77777777" w:rsidR="00B7376D" w:rsidRPr="00B14FCB" w:rsidRDefault="00B7376D" w:rsidP="00B7376D">
            <w:pPr>
              <w:autoSpaceDE w:val="0"/>
              <w:autoSpaceDN w:val="0"/>
              <w:bidi w:val="0"/>
              <w:adjustRightInd w:val="0"/>
              <w:spacing w:after="24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6667" w:type="dxa"/>
            <w:gridSpan w:val="2"/>
          </w:tcPr>
          <w:p w14:paraId="5200D1DF" w14:textId="77777777" w:rsidR="00B7376D" w:rsidRPr="00B14FCB" w:rsidRDefault="00B7376D" w:rsidP="00B7376D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What is the likelihood of performing non-medical switching to biosimilars once available in your country?</w:t>
            </w:r>
          </w:p>
        </w:tc>
      </w:tr>
      <w:tr w:rsidR="00B7376D" w:rsidRPr="00B14FCB" w14:paraId="2F6A2957" w14:textId="77777777" w:rsidTr="002B4514">
        <w:trPr>
          <w:jc w:val="center"/>
        </w:trPr>
        <w:tc>
          <w:tcPr>
            <w:tcW w:w="279" w:type="dxa"/>
          </w:tcPr>
          <w:p w14:paraId="46279CCE" w14:textId="77777777" w:rsidR="00B7376D" w:rsidRPr="00B14FCB" w:rsidRDefault="00B7376D" w:rsidP="00B7376D">
            <w:pPr>
              <w:autoSpaceDE w:val="0"/>
              <w:autoSpaceDN w:val="0"/>
              <w:bidi w:val="0"/>
              <w:adjustRightInd w:val="0"/>
              <w:spacing w:after="240"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6</w:t>
            </w:r>
          </w:p>
        </w:tc>
        <w:tc>
          <w:tcPr>
            <w:tcW w:w="6667" w:type="dxa"/>
            <w:gridSpan w:val="2"/>
          </w:tcPr>
          <w:p w14:paraId="78B769FE" w14:textId="77777777" w:rsidR="00B7376D" w:rsidRPr="00B14FCB" w:rsidRDefault="00B7376D" w:rsidP="00B7376D">
            <w:pPr>
              <w:autoSpaceDE w:val="0"/>
              <w:autoSpaceDN w:val="0"/>
              <w:bidi w:val="0"/>
              <w:adjustRightInd w:val="0"/>
              <w:spacing w:line="276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14FCB">
              <w:rPr>
                <w:rFonts w:asciiTheme="majorBidi" w:hAnsiTheme="majorBidi" w:cstheme="majorBidi"/>
                <w:sz w:val="24"/>
                <w:szCs w:val="24"/>
              </w:rPr>
              <w:t>What is the expected cost reduction in the biosimilar compared to its originator to justify non-medical switching?</w:t>
            </w:r>
          </w:p>
        </w:tc>
      </w:tr>
    </w:tbl>
    <w:p w14:paraId="16C0B005" w14:textId="77777777" w:rsidR="00B7376D" w:rsidRPr="00B7376D" w:rsidRDefault="00B7376D" w:rsidP="00B7376D"/>
    <w:sectPr w:rsidR="00B7376D" w:rsidRPr="00B737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1053DA"/>
    <w:multiLevelType w:val="hybridMultilevel"/>
    <w:tmpl w:val="12DA96DA"/>
    <w:lvl w:ilvl="0" w:tplc="41DC0DFE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76D"/>
    <w:rsid w:val="00B7376D"/>
    <w:rsid w:val="00C10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914006"/>
  <w15:chartTrackingRefBased/>
  <w15:docId w15:val="{F9DB3702-C30C-4175-95D3-0A7AECE35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7376D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376D"/>
    <w:pPr>
      <w:ind w:left="720"/>
      <w:contextualSpacing/>
    </w:pPr>
  </w:style>
  <w:style w:type="table" w:styleId="TableGrid">
    <w:name w:val="Table Grid"/>
    <w:basedOn w:val="TableNormal"/>
    <w:uiPriority w:val="39"/>
    <w:rsid w:val="00B737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271</Words>
  <Characters>1549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 Omair</dc:creator>
  <cp:keywords/>
  <dc:description/>
  <cp:lastModifiedBy>Mohammed Omair</cp:lastModifiedBy>
  <cp:revision>3</cp:revision>
  <dcterms:created xsi:type="dcterms:W3CDTF">2019-03-04T19:05:00Z</dcterms:created>
  <dcterms:modified xsi:type="dcterms:W3CDTF">2019-09-30T07:05:00Z</dcterms:modified>
</cp:coreProperties>
</file>