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34C80" w14:textId="57601A60" w:rsidR="00FA20CE" w:rsidRPr="00FA20CE" w:rsidRDefault="00FA20CE" w:rsidP="00EC6AEF">
      <w:pPr>
        <w:spacing w:after="0" w:line="240" w:lineRule="auto"/>
        <w:rPr>
          <w:highlight w:val="yellow"/>
        </w:rPr>
      </w:pPr>
      <w:r w:rsidRPr="00FA20CE">
        <w:rPr>
          <w:highlight w:val="yellow"/>
        </w:rPr>
        <w:t>Supplementary Reference: Full citations of included studies</w:t>
      </w:r>
    </w:p>
    <w:p w14:paraId="1CE0BEE7" w14:textId="33DC2BCE" w:rsidR="00FA20CE" w:rsidRPr="00FA20CE" w:rsidRDefault="00FA20CE" w:rsidP="00EC6AEF">
      <w:pPr>
        <w:spacing w:after="0" w:line="240" w:lineRule="auto"/>
        <w:rPr>
          <w:highlight w:val="yellow"/>
        </w:rPr>
      </w:pPr>
    </w:p>
    <w:p w14:paraId="4D7FD5D7" w14:textId="3A22D719" w:rsidR="00FA20CE" w:rsidRPr="00FA20CE" w:rsidRDefault="00FA20CE" w:rsidP="00FA20CE">
      <w:pPr>
        <w:pStyle w:val="EndNoteBibliography"/>
        <w:spacing w:after="0" w:line="480" w:lineRule="auto"/>
        <w:rPr>
          <w:noProof/>
          <w:highlight w:val="yellow"/>
        </w:rPr>
      </w:pPr>
      <w:r w:rsidRPr="00FA20CE">
        <w:rPr>
          <w:noProof/>
          <w:highlight w:val="yellow"/>
        </w:rPr>
        <w:t>1.</w:t>
      </w:r>
      <w:r w:rsidRPr="00FA20CE">
        <w:rPr>
          <w:noProof/>
          <w:highlight w:val="yellow"/>
        </w:rPr>
        <w:tab/>
        <w:t>Horiuchi Y, Kusama K, Kanha S, Yoshiike N, team Fr. Urban-Rural Differences in Nutritional Status and Dietary Intakes of School-Aged Children in Cambodia. Nutrients. 2018;11(1).</w:t>
      </w:r>
    </w:p>
    <w:p w14:paraId="3C3B86A7" w14:textId="29F267E6" w:rsidR="00FA20CE" w:rsidRPr="00FA20CE" w:rsidRDefault="00EF656C" w:rsidP="00FA20CE">
      <w:pPr>
        <w:pStyle w:val="EndNoteBibliography"/>
        <w:spacing w:after="0" w:line="480" w:lineRule="auto"/>
        <w:rPr>
          <w:noProof/>
          <w:highlight w:val="yellow"/>
        </w:rPr>
      </w:pPr>
      <w:r>
        <w:rPr>
          <w:noProof/>
          <w:highlight w:val="yellow"/>
        </w:rPr>
        <w:t>2</w:t>
      </w:r>
      <w:r w:rsidR="00FA20CE" w:rsidRPr="00FA20CE">
        <w:rPr>
          <w:noProof/>
          <w:highlight w:val="yellow"/>
        </w:rPr>
        <w:t>.</w:t>
      </w:r>
      <w:r w:rsidR="00FA20CE" w:rsidRPr="00FA20CE">
        <w:rPr>
          <w:noProof/>
          <w:highlight w:val="yellow"/>
        </w:rPr>
        <w:tab/>
        <w:t>Kang Y, Aguayo VM, Campbell RK, Dzed L, Joshi V, Waid JL, et al. Nutritional status and risk factors for stunting in preschool children in Bhutan. Matern Child Nutr. 2018;14 Suppl 4:e12653.</w:t>
      </w:r>
    </w:p>
    <w:p w14:paraId="52A97D93" w14:textId="56A321B5" w:rsidR="00FA20CE" w:rsidRPr="00FA20CE" w:rsidRDefault="00EF656C" w:rsidP="00FA20CE">
      <w:pPr>
        <w:pStyle w:val="EndNoteBibliography"/>
        <w:spacing w:after="0" w:line="480" w:lineRule="auto"/>
        <w:rPr>
          <w:noProof/>
          <w:highlight w:val="yellow"/>
        </w:rPr>
      </w:pPr>
      <w:r>
        <w:rPr>
          <w:noProof/>
          <w:highlight w:val="yellow"/>
        </w:rPr>
        <w:t>3</w:t>
      </w:r>
      <w:r w:rsidR="00FA20CE" w:rsidRPr="00FA20CE">
        <w:rPr>
          <w:noProof/>
          <w:highlight w:val="yellow"/>
        </w:rPr>
        <w:t>.</w:t>
      </w:r>
      <w:r w:rsidR="00FA20CE" w:rsidRPr="00FA20CE">
        <w:rPr>
          <w:noProof/>
          <w:highlight w:val="yellow"/>
        </w:rPr>
        <w:tab/>
        <w:t>Chaudhury AR, Reddy TV, Divyaveer SS, Patil K, Bennikal M, Karmakar K, et al. A Cross-sectional Prospective Study of Asymptomatic Urinary Abnormalities, Blood Pressure, and Body Mass Index in Healthy School Children. Kidney Int Rep. 2017;2(6):1169-75.</w:t>
      </w:r>
    </w:p>
    <w:p w14:paraId="4B434020" w14:textId="4B8EDFE7" w:rsidR="00FA20CE" w:rsidRPr="00FA20CE" w:rsidRDefault="00EF656C" w:rsidP="00FA20CE">
      <w:pPr>
        <w:pStyle w:val="EndNoteBibliography"/>
        <w:spacing w:after="0" w:line="480" w:lineRule="auto"/>
        <w:rPr>
          <w:noProof/>
          <w:highlight w:val="yellow"/>
        </w:rPr>
      </w:pPr>
      <w:r>
        <w:rPr>
          <w:noProof/>
          <w:highlight w:val="yellow"/>
        </w:rPr>
        <w:t>4</w:t>
      </w:r>
      <w:r w:rsidR="00FA20CE" w:rsidRPr="00FA20CE">
        <w:rPr>
          <w:noProof/>
          <w:highlight w:val="yellow"/>
        </w:rPr>
        <w:t>.</w:t>
      </w:r>
      <w:r w:rsidR="00FA20CE" w:rsidRPr="00FA20CE">
        <w:rPr>
          <w:noProof/>
          <w:highlight w:val="yellow"/>
        </w:rPr>
        <w:tab/>
        <w:t>Partap U, Young EH, Allotey P, Sandhu MS, Reidpath DD. The Use of Different International References to Assess Child Anthropometric Status in a Malaysian Population. J Pediatr. 2017;190:63-8 e1.</w:t>
      </w:r>
    </w:p>
    <w:p w14:paraId="6DFFEFA7" w14:textId="7938B27A" w:rsidR="00FA20CE" w:rsidRPr="00FA20CE" w:rsidRDefault="00EF656C" w:rsidP="00FA20CE">
      <w:pPr>
        <w:pStyle w:val="EndNoteBibliography"/>
        <w:spacing w:after="0" w:line="480" w:lineRule="auto"/>
        <w:rPr>
          <w:noProof/>
          <w:highlight w:val="yellow"/>
        </w:rPr>
      </w:pPr>
      <w:r>
        <w:rPr>
          <w:noProof/>
          <w:highlight w:val="yellow"/>
        </w:rPr>
        <w:t>5</w:t>
      </w:r>
      <w:r w:rsidR="00FA20CE" w:rsidRPr="00FA20CE">
        <w:rPr>
          <w:noProof/>
          <w:highlight w:val="yellow"/>
        </w:rPr>
        <w:t>.</w:t>
      </w:r>
      <w:r w:rsidR="00FA20CE" w:rsidRPr="00FA20CE">
        <w:rPr>
          <w:noProof/>
          <w:highlight w:val="yellow"/>
        </w:rPr>
        <w:tab/>
        <w:t>Zhang N, Becares L, Chandola T. Patterns and Determinants of Double-Burden of Malnutrition among Rural Children: Evidence from China. PLoS One. 2016;11(7):e0158119.</w:t>
      </w:r>
    </w:p>
    <w:p w14:paraId="0E99C651" w14:textId="146B6F2F" w:rsidR="00FA20CE" w:rsidRPr="00FA20CE" w:rsidRDefault="00EF656C" w:rsidP="00FA20CE">
      <w:pPr>
        <w:pStyle w:val="EndNoteBibliography"/>
        <w:spacing w:after="0" w:line="480" w:lineRule="auto"/>
        <w:rPr>
          <w:noProof/>
          <w:highlight w:val="yellow"/>
        </w:rPr>
      </w:pPr>
      <w:r>
        <w:rPr>
          <w:noProof/>
          <w:highlight w:val="yellow"/>
        </w:rPr>
        <w:t>6</w:t>
      </w:r>
      <w:r w:rsidR="00FA20CE" w:rsidRPr="00FA20CE">
        <w:rPr>
          <w:noProof/>
          <w:highlight w:val="yellow"/>
        </w:rPr>
        <w:t>.</w:t>
      </w:r>
      <w:r w:rsidR="00FA20CE" w:rsidRPr="00FA20CE">
        <w:rPr>
          <w:noProof/>
          <w:highlight w:val="yellow"/>
        </w:rPr>
        <w:tab/>
        <w:t>Greffeuille V, Sophonneary P, Laillou A, Gauthier L, Hong R, Hong R, et al. Persistent Inequalities in Child Undernutrition in Cambodia from 2000 until Today. Nutrients. 2016;8(5).</w:t>
      </w:r>
    </w:p>
    <w:p w14:paraId="3C59D397" w14:textId="7FEC2349" w:rsidR="00FA20CE" w:rsidRPr="00FA20CE" w:rsidRDefault="00EF656C" w:rsidP="00FA20CE">
      <w:pPr>
        <w:pStyle w:val="EndNoteBibliography"/>
        <w:spacing w:after="0" w:line="480" w:lineRule="auto"/>
        <w:rPr>
          <w:noProof/>
          <w:highlight w:val="yellow"/>
        </w:rPr>
      </w:pPr>
      <w:r>
        <w:rPr>
          <w:noProof/>
          <w:highlight w:val="yellow"/>
        </w:rPr>
        <w:t>7</w:t>
      </w:r>
      <w:r w:rsidR="00FA20CE" w:rsidRPr="00FA20CE">
        <w:rPr>
          <w:noProof/>
          <w:highlight w:val="yellow"/>
        </w:rPr>
        <w:t>.</w:t>
      </w:r>
      <w:r w:rsidR="00FA20CE" w:rsidRPr="00FA20CE">
        <w:rPr>
          <w:noProof/>
          <w:highlight w:val="yellow"/>
        </w:rPr>
        <w:tab/>
        <w:t>Zhang YX, Lin M, Sun GZ. The double burden of overweight and thinness among children and adolescents in Shandong China. Int J Cardiol. 2015;184:380-1.</w:t>
      </w:r>
    </w:p>
    <w:p w14:paraId="5D170A3E" w14:textId="282CB84A" w:rsidR="00FA20CE" w:rsidRPr="00FA20CE" w:rsidRDefault="00EF656C" w:rsidP="00FA20CE">
      <w:pPr>
        <w:pStyle w:val="EndNoteBibliography"/>
        <w:spacing w:after="0" w:line="480" w:lineRule="auto"/>
        <w:rPr>
          <w:noProof/>
          <w:highlight w:val="yellow"/>
        </w:rPr>
      </w:pPr>
      <w:r>
        <w:rPr>
          <w:noProof/>
          <w:highlight w:val="yellow"/>
        </w:rPr>
        <w:t>8</w:t>
      </w:r>
      <w:r w:rsidR="00FA20CE" w:rsidRPr="00FA20CE">
        <w:rPr>
          <w:noProof/>
          <w:highlight w:val="yellow"/>
        </w:rPr>
        <w:t>.</w:t>
      </w:r>
      <w:r w:rsidR="00FA20CE" w:rsidRPr="00FA20CE">
        <w:rPr>
          <w:noProof/>
          <w:highlight w:val="yellow"/>
        </w:rPr>
        <w:tab/>
        <w:t>Piernas C, Wang D, Du S, Zhang B, Wang Z, Su C, et al. The double burden of under- and overnutrition and nutrient adequacy among Chinese preschool and school-aged children in 2009-2011. European journal of clinical nutrition. 2015;69(12):1323-9.</w:t>
      </w:r>
    </w:p>
    <w:p w14:paraId="57F0C3D0" w14:textId="6E0AA637" w:rsidR="00FA20CE" w:rsidRPr="00FA20CE" w:rsidRDefault="00EF656C" w:rsidP="00FA20CE">
      <w:pPr>
        <w:pStyle w:val="EndNoteBibliography"/>
        <w:spacing w:after="0" w:line="480" w:lineRule="auto"/>
        <w:rPr>
          <w:noProof/>
          <w:highlight w:val="yellow"/>
        </w:rPr>
      </w:pPr>
      <w:r>
        <w:rPr>
          <w:noProof/>
          <w:highlight w:val="yellow"/>
        </w:rPr>
        <w:t>9</w:t>
      </w:r>
      <w:r w:rsidR="00FA20CE" w:rsidRPr="00FA20CE">
        <w:rPr>
          <w:noProof/>
          <w:highlight w:val="yellow"/>
        </w:rPr>
        <w:t>.</w:t>
      </w:r>
      <w:r w:rsidR="00FA20CE" w:rsidRPr="00FA20CE">
        <w:rPr>
          <w:noProof/>
          <w:highlight w:val="yellow"/>
        </w:rPr>
        <w:tab/>
        <w:t>Sandjaja S, Budiman B, Harahap H, Ernawati F, Soekatri M, Widodo Y, et al. Food consumption and nutritional and biochemical status of 0.5-12-year-old Indonesian children: the SEANUTS study. Br J Nutr. 2013;110 Suppl 3:S11-20.</w:t>
      </w:r>
    </w:p>
    <w:p w14:paraId="4A94F3DB" w14:textId="5CAD30C7" w:rsidR="00FA20CE" w:rsidRPr="00FA20CE" w:rsidRDefault="00EF656C" w:rsidP="00FA20CE">
      <w:pPr>
        <w:pStyle w:val="EndNoteBibliography"/>
        <w:spacing w:after="0" w:line="480" w:lineRule="auto"/>
        <w:rPr>
          <w:noProof/>
          <w:highlight w:val="yellow"/>
        </w:rPr>
      </w:pPr>
      <w:r>
        <w:rPr>
          <w:noProof/>
          <w:highlight w:val="yellow"/>
        </w:rPr>
        <w:t>10</w:t>
      </w:r>
      <w:r w:rsidR="00FA20CE" w:rsidRPr="00FA20CE">
        <w:rPr>
          <w:noProof/>
          <w:highlight w:val="yellow"/>
        </w:rPr>
        <w:t>.</w:t>
      </w:r>
      <w:r w:rsidR="00FA20CE" w:rsidRPr="00FA20CE">
        <w:rPr>
          <w:noProof/>
          <w:highlight w:val="yellow"/>
        </w:rPr>
        <w:tab/>
        <w:t>Khan I, Ul-Haq Z, Taj AS, Iqbal AZ, Basharat S, Shah BH. Prevalence and Association of Obesity with Self-Reported Comorbidity: A Cross-Sectional Study of 1321 Adult Participants in Lasbela, Balochistan. Biomed Res Int. 2017;2017:1076923.</w:t>
      </w:r>
    </w:p>
    <w:p w14:paraId="4F5BE49C" w14:textId="7C330F60" w:rsidR="00FA20CE" w:rsidRPr="00FA20CE" w:rsidRDefault="00EF656C" w:rsidP="00FA20CE">
      <w:pPr>
        <w:pStyle w:val="EndNoteBibliography"/>
        <w:spacing w:after="0" w:line="480" w:lineRule="auto"/>
        <w:rPr>
          <w:noProof/>
          <w:highlight w:val="yellow"/>
        </w:rPr>
      </w:pPr>
      <w:r>
        <w:rPr>
          <w:noProof/>
          <w:highlight w:val="yellow"/>
        </w:rPr>
        <w:lastRenderedPageBreak/>
        <w:t>11</w:t>
      </w:r>
      <w:r w:rsidR="00FA20CE" w:rsidRPr="00FA20CE">
        <w:rPr>
          <w:noProof/>
          <w:highlight w:val="yellow"/>
        </w:rPr>
        <w:t>.</w:t>
      </w:r>
      <w:r w:rsidR="00FA20CE" w:rsidRPr="00FA20CE">
        <w:rPr>
          <w:noProof/>
          <w:highlight w:val="yellow"/>
        </w:rPr>
        <w:tab/>
        <w:t>Pell C, Allotey P, Evans N, Hardon A, Imelda JD, Soyiri I, et al. Coming of age, becoming obese: a cross-sectional analysis of obesity among adolescents and young adults in Malaysia. BMC Public Health. 2016;16(1):1082.</w:t>
      </w:r>
    </w:p>
    <w:p w14:paraId="135E1C87" w14:textId="373B6552" w:rsidR="00FA20CE" w:rsidRPr="00FA20CE" w:rsidRDefault="00EF656C" w:rsidP="00FA20CE">
      <w:pPr>
        <w:pStyle w:val="EndNoteBibliography"/>
        <w:spacing w:after="0" w:line="480" w:lineRule="auto"/>
        <w:rPr>
          <w:noProof/>
          <w:highlight w:val="yellow"/>
        </w:rPr>
      </w:pPr>
      <w:r>
        <w:rPr>
          <w:noProof/>
          <w:highlight w:val="yellow"/>
        </w:rPr>
        <w:t>12</w:t>
      </w:r>
      <w:r w:rsidR="00FA20CE" w:rsidRPr="00FA20CE">
        <w:rPr>
          <w:noProof/>
          <w:highlight w:val="yellow"/>
        </w:rPr>
        <w:t>.</w:t>
      </w:r>
      <w:r w:rsidR="00FA20CE" w:rsidRPr="00FA20CE">
        <w:rPr>
          <w:noProof/>
          <w:highlight w:val="yellow"/>
        </w:rPr>
        <w:tab/>
        <w:t>Subhaluksuksakorn P, Sinjariyanon W, Pimsaran R. Gender Difference in Underweight, Overweight and Obesity among First-Year Students of Suranaree University of Technology in 2015. J Med Assoc Thai. 2016;99 Suppl 7:S24-9.</w:t>
      </w:r>
    </w:p>
    <w:p w14:paraId="1C791115" w14:textId="5EE2A075" w:rsidR="00FA20CE" w:rsidRPr="00FA20CE" w:rsidRDefault="00EF656C" w:rsidP="00FA20CE">
      <w:pPr>
        <w:pStyle w:val="EndNoteBibliography"/>
        <w:spacing w:after="0" w:line="480" w:lineRule="auto"/>
        <w:rPr>
          <w:noProof/>
          <w:highlight w:val="yellow"/>
        </w:rPr>
      </w:pPr>
      <w:r>
        <w:rPr>
          <w:noProof/>
          <w:highlight w:val="yellow"/>
        </w:rPr>
        <w:t>13</w:t>
      </w:r>
      <w:r w:rsidR="00FA20CE" w:rsidRPr="00FA20CE">
        <w:rPr>
          <w:noProof/>
          <w:highlight w:val="yellow"/>
        </w:rPr>
        <w:t>.</w:t>
      </w:r>
      <w:r w:rsidR="00FA20CE" w:rsidRPr="00FA20CE">
        <w:rPr>
          <w:noProof/>
          <w:highlight w:val="yellow"/>
        </w:rPr>
        <w:tab/>
        <w:t>Greffeuille V, Sophonneary P, Laillou A, Gauthier L, Hong R, Hong R, et al. Inequalities in Nutrition between Cambodian Women over the Last 15 Years (2000-2014). Nutrients. 2016;8(4):224.</w:t>
      </w:r>
    </w:p>
    <w:p w14:paraId="6B910248" w14:textId="5A916D70" w:rsidR="00FA20CE" w:rsidRPr="00FA20CE" w:rsidRDefault="00EF656C" w:rsidP="00FA20CE">
      <w:pPr>
        <w:pStyle w:val="EndNoteBibliography"/>
        <w:spacing w:after="0" w:line="480" w:lineRule="auto"/>
        <w:rPr>
          <w:noProof/>
          <w:highlight w:val="yellow"/>
        </w:rPr>
      </w:pPr>
      <w:r>
        <w:rPr>
          <w:noProof/>
          <w:highlight w:val="yellow"/>
        </w:rPr>
        <w:t>14</w:t>
      </w:r>
      <w:r w:rsidR="00FA20CE" w:rsidRPr="00FA20CE">
        <w:rPr>
          <w:noProof/>
          <w:highlight w:val="yellow"/>
        </w:rPr>
        <w:t>.</w:t>
      </w:r>
      <w:r w:rsidR="00FA20CE" w:rsidRPr="00FA20CE">
        <w:rPr>
          <w:noProof/>
          <w:highlight w:val="yellow"/>
        </w:rPr>
        <w:tab/>
        <w:t>Seo WJ, Lee GM, Hwang JH, Lee MN, Kang HC. Association between Body Mass Index, Waist Circumference and Prevalence of Microalbuminuria in Korean Adults of Age 30 Years and Older without Diabetes, Hypertension, Renal Failure, or Overt Proteinuria: The 2013 Korean National Health and Nutrition Examination Survey. Korean J Fam Med. 2016;37(1):57-63.</w:t>
      </w:r>
    </w:p>
    <w:p w14:paraId="35117214" w14:textId="5AD1042B" w:rsidR="00FA20CE" w:rsidRPr="00FA20CE" w:rsidRDefault="00EF656C" w:rsidP="00FA20CE">
      <w:pPr>
        <w:pStyle w:val="EndNoteBibliography"/>
        <w:spacing w:after="0" w:line="480" w:lineRule="auto"/>
        <w:rPr>
          <w:noProof/>
          <w:highlight w:val="yellow"/>
        </w:rPr>
      </w:pPr>
      <w:r>
        <w:rPr>
          <w:noProof/>
          <w:highlight w:val="yellow"/>
        </w:rPr>
        <w:t>15</w:t>
      </w:r>
      <w:r w:rsidR="00FA20CE" w:rsidRPr="00FA20CE">
        <w:rPr>
          <w:noProof/>
          <w:highlight w:val="yellow"/>
        </w:rPr>
        <w:t>.</w:t>
      </w:r>
      <w:r w:rsidR="00FA20CE" w:rsidRPr="00FA20CE">
        <w:rPr>
          <w:noProof/>
          <w:highlight w:val="yellow"/>
        </w:rPr>
        <w:tab/>
        <w:t>Xu Y, Zhou Z, Li Y, Yang J, Guo X, Gao J, et al. Exploring the nonlinear relationship between body mass index and health-related quality of life among adults: a cross-sectional study in Shaanxi Province, China. Health Qual Life Outcomes. 2015;13:153.</w:t>
      </w:r>
    </w:p>
    <w:p w14:paraId="79522EB9" w14:textId="753569B7" w:rsidR="00FA20CE" w:rsidRPr="00FA20CE" w:rsidRDefault="00EF656C" w:rsidP="00FA20CE">
      <w:pPr>
        <w:pStyle w:val="EndNoteBibliography"/>
        <w:spacing w:after="0" w:line="480" w:lineRule="auto"/>
        <w:rPr>
          <w:noProof/>
          <w:highlight w:val="yellow"/>
        </w:rPr>
      </w:pPr>
      <w:r>
        <w:rPr>
          <w:noProof/>
          <w:highlight w:val="yellow"/>
        </w:rPr>
        <w:t>16</w:t>
      </w:r>
      <w:r w:rsidR="00FA20CE" w:rsidRPr="00FA20CE">
        <w:rPr>
          <w:noProof/>
          <w:highlight w:val="yellow"/>
        </w:rPr>
        <w:t>.</w:t>
      </w:r>
      <w:r w:rsidR="00FA20CE" w:rsidRPr="00FA20CE">
        <w:rPr>
          <w:noProof/>
          <w:highlight w:val="yellow"/>
        </w:rPr>
        <w:tab/>
        <w:t>Sengupta A, Angeli F, Syamala TS, Dagnelie PC, van Schayck CP. Overweight and obesity prevalence among Indian women by place of residence and socio-economic status: Contrasting patterns from 'underweight states' and 'overweight states' of India. Soc Sci Med. 2015;138:161-9.</w:t>
      </w:r>
    </w:p>
    <w:p w14:paraId="60D757A8" w14:textId="1F2769AC" w:rsidR="00FA20CE" w:rsidRPr="00FA20CE" w:rsidRDefault="00EF656C" w:rsidP="00FA20CE">
      <w:pPr>
        <w:pStyle w:val="EndNoteBibliography"/>
        <w:spacing w:after="0" w:line="480" w:lineRule="auto"/>
        <w:rPr>
          <w:noProof/>
          <w:highlight w:val="yellow"/>
        </w:rPr>
      </w:pPr>
      <w:r>
        <w:rPr>
          <w:noProof/>
          <w:highlight w:val="yellow"/>
        </w:rPr>
        <w:t>17</w:t>
      </w:r>
      <w:r w:rsidR="00FA20CE" w:rsidRPr="00FA20CE">
        <w:rPr>
          <w:noProof/>
          <w:highlight w:val="yellow"/>
        </w:rPr>
        <w:t>.</w:t>
      </w:r>
      <w:r w:rsidR="00FA20CE" w:rsidRPr="00FA20CE">
        <w:rPr>
          <w:noProof/>
          <w:highlight w:val="yellow"/>
        </w:rPr>
        <w:tab/>
        <w:t>Kamal SM, Hassan CH, Alam GM. Dual burden of underweight and overweight among women in Bangladesh: patterns, prevalence, and sociodemographic correlates. J Health Popul Nutr. 2015;33(1):92-105.</w:t>
      </w:r>
    </w:p>
    <w:p w14:paraId="404AA9F6" w14:textId="7088E6D4" w:rsidR="00FA20CE" w:rsidRPr="00FA20CE" w:rsidRDefault="00EF656C" w:rsidP="00FA20CE">
      <w:pPr>
        <w:pStyle w:val="EndNoteBibliography"/>
        <w:spacing w:after="0" w:line="480" w:lineRule="auto"/>
        <w:rPr>
          <w:noProof/>
          <w:highlight w:val="yellow"/>
        </w:rPr>
      </w:pPr>
      <w:r>
        <w:rPr>
          <w:noProof/>
          <w:highlight w:val="yellow"/>
        </w:rPr>
        <w:t>18</w:t>
      </w:r>
      <w:r w:rsidR="00FA20CE" w:rsidRPr="00FA20CE">
        <w:rPr>
          <w:noProof/>
          <w:highlight w:val="yellow"/>
        </w:rPr>
        <w:t>.</w:t>
      </w:r>
      <w:r w:rsidR="00FA20CE" w:rsidRPr="00FA20CE">
        <w:rPr>
          <w:noProof/>
          <w:highlight w:val="yellow"/>
        </w:rPr>
        <w:tab/>
        <w:t>Gaur K, Keshri K, Joe W. Does living in slums or non-slums influence women's nutritional status? Evidence from Indian mega-cities. Soc Sci Med. 2013;77:137-46.</w:t>
      </w:r>
    </w:p>
    <w:p w14:paraId="0B672BB8" w14:textId="6E11D85B" w:rsidR="00FA20CE" w:rsidRPr="00FA20CE" w:rsidRDefault="00EF656C" w:rsidP="00FA20CE">
      <w:pPr>
        <w:pStyle w:val="EndNoteBibliography"/>
        <w:spacing w:after="0" w:line="480" w:lineRule="auto"/>
        <w:rPr>
          <w:noProof/>
          <w:highlight w:val="yellow"/>
        </w:rPr>
      </w:pPr>
      <w:r>
        <w:rPr>
          <w:noProof/>
          <w:highlight w:val="yellow"/>
        </w:rPr>
        <w:t>19</w:t>
      </w:r>
      <w:r w:rsidR="00FA20CE" w:rsidRPr="00FA20CE">
        <w:rPr>
          <w:noProof/>
          <w:highlight w:val="yellow"/>
        </w:rPr>
        <w:t>.</w:t>
      </w:r>
      <w:r w:rsidR="00FA20CE" w:rsidRPr="00FA20CE">
        <w:rPr>
          <w:noProof/>
          <w:highlight w:val="yellow"/>
        </w:rPr>
        <w:tab/>
        <w:t>Banks E, Lim L, Seubsman SA, Bain C, Sleigh A. Relationship of obesity to physical activity, domestic activities, and sedentary behaviours: cross-sectional findings from a national cohort of over 70,000 Thai adults. BMC Public Health. 2011;11:762.</w:t>
      </w:r>
    </w:p>
    <w:p w14:paraId="1004F429" w14:textId="3576A99B" w:rsidR="00FA20CE" w:rsidRPr="00FA20CE" w:rsidRDefault="00EF656C" w:rsidP="00FA20CE">
      <w:pPr>
        <w:pStyle w:val="EndNoteBibliography"/>
        <w:spacing w:after="0" w:line="480" w:lineRule="auto"/>
        <w:rPr>
          <w:noProof/>
          <w:highlight w:val="yellow"/>
        </w:rPr>
      </w:pPr>
      <w:r>
        <w:rPr>
          <w:noProof/>
          <w:highlight w:val="yellow"/>
        </w:rPr>
        <w:lastRenderedPageBreak/>
        <w:t>20</w:t>
      </w:r>
      <w:r w:rsidR="00FA20CE" w:rsidRPr="00FA20CE">
        <w:rPr>
          <w:noProof/>
          <w:highlight w:val="yellow"/>
        </w:rPr>
        <w:t>.</w:t>
      </w:r>
      <w:r w:rsidR="00FA20CE" w:rsidRPr="00FA20CE">
        <w:rPr>
          <w:noProof/>
          <w:highlight w:val="yellow"/>
        </w:rPr>
        <w:tab/>
        <w:t>Khang YH, Yun SC. Trends in general and abdominal obesity among Korean adults: findings from 1998, 2001, 2005, and 2007 Korea National Health and Nutrition Examination Surveys. J Korean Med Sci. 2010;25(11):1582-8.</w:t>
      </w:r>
    </w:p>
    <w:p w14:paraId="291772DB" w14:textId="26743533" w:rsidR="00FA20CE" w:rsidRPr="00FA20CE" w:rsidRDefault="00EF656C" w:rsidP="00FA20CE">
      <w:pPr>
        <w:pStyle w:val="EndNoteBibliography"/>
        <w:spacing w:after="0" w:line="480" w:lineRule="auto"/>
        <w:rPr>
          <w:noProof/>
          <w:highlight w:val="yellow"/>
        </w:rPr>
      </w:pPr>
      <w:r>
        <w:rPr>
          <w:noProof/>
          <w:highlight w:val="yellow"/>
        </w:rPr>
        <w:t>21</w:t>
      </w:r>
      <w:r w:rsidR="00FA20CE" w:rsidRPr="00FA20CE">
        <w:rPr>
          <w:noProof/>
          <w:highlight w:val="yellow"/>
        </w:rPr>
        <w:t>.</w:t>
      </w:r>
      <w:r w:rsidR="00FA20CE" w:rsidRPr="00FA20CE">
        <w:rPr>
          <w:noProof/>
          <w:highlight w:val="yellow"/>
        </w:rPr>
        <w:tab/>
        <w:t>Lim J, Park HS. Trends in the prevalence of underweight, obesity, abdominal obesity and their related lifestyle factors in Korean young adults, 1998-2012. Obes Res Clin Pract. 2018;12(4):358-64.</w:t>
      </w:r>
    </w:p>
    <w:p w14:paraId="039E0A9D" w14:textId="72EDED3A" w:rsidR="00FA20CE" w:rsidRPr="00FA20CE" w:rsidRDefault="00EF656C" w:rsidP="00FA20CE">
      <w:pPr>
        <w:pStyle w:val="EndNoteBibliography"/>
        <w:spacing w:after="0" w:line="480" w:lineRule="auto"/>
        <w:rPr>
          <w:noProof/>
          <w:highlight w:val="yellow"/>
        </w:rPr>
      </w:pPr>
      <w:r>
        <w:rPr>
          <w:noProof/>
          <w:highlight w:val="yellow"/>
        </w:rPr>
        <w:t>22</w:t>
      </w:r>
      <w:r w:rsidR="00FA20CE" w:rsidRPr="00FA20CE">
        <w:rPr>
          <w:noProof/>
          <w:highlight w:val="yellow"/>
        </w:rPr>
        <w:t>.</w:t>
      </w:r>
      <w:r w:rsidR="00FA20CE" w:rsidRPr="00FA20CE">
        <w:rPr>
          <w:noProof/>
          <w:highlight w:val="yellow"/>
        </w:rPr>
        <w:tab/>
        <w:t>Agho KE, Osuagwu UL, Ezeh OK, Ghimire PR, Chitekwe S, Ogbo FA. Gender differences in factors associated with prehypertension and hypertension in Nepal: A nationwide survey. PLoS One. 2018;13(9):e0203278.</w:t>
      </w:r>
    </w:p>
    <w:p w14:paraId="6109CE59" w14:textId="150C3565" w:rsidR="00FA20CE" w:rsidRPr="00FA20CE" w:rsidRDefault="00EF656C" w:rsidP="00FA20CE">
      <w:pPr>
        <w:pStyle w:val="EndNoteBibliography"/>
        <w:spacing w:after="0" w:line="480" w:lineRule="auto"/>
        <w:rPr>
          <w:noProof/>
          <w:highlight w:val="yellow"/>
        </w:rPr>
      </w:pPr>
      <w:r>
        <w:rPr>
          <w:noProof/>
          <w:highlight w:val="yellow"/>
        </w:rPr>
        <w:t>23</w:t>
      </w:r>
      <w:r w:rsidR="00FA20CE" w:rsidRPr="00FA20CE">
        <w:rPr>
          <w:noProof/>
          <w:highlight w:val="yellow"/>
        </w:rPr>
        <w:t>.</w:t>
      </w:r>
      <w:r w:rsidR="00FA20CE" w:rsidRPr="00FA20CE">
        <w:rPr>
          <w:noProof/>
          <w:highlight w:val="yellow"/>
        </w:rPr>
        <w:tab/>
        <w:t>Wu JS, Lu FH, Yang YC, Lin TS, Huang YH, Wu CH, et al. Epidemiological evidence of altered cardiac autonomic function in overweight but not underweight subjects. International journal of obesity. 2008;32(5):788-94.</w:t>
      </w:r>
    </w:p>
    <w:p w14:paraId="503E17B4" w14:textId="5F3A46AF" w:rsidR="00FA20CE" w:rsidRPr="00FA20CE" w:rsidRDefault="00EF656C" w:rsidP="00FA20CE">
      <w:pPr>
        <w:pStyle w:val="EndNoteBibliography"/>
        <w:spacing w:after="0" w:line="480" w:lineRule="auto"/>
        <w:rPr>
          <w:noProof/>
          <w:highlight w:val="yellow"/>
        </w:rPr>
      </w:pPr>
      <w:r>
        <w:rPr>
          <w:noProof/>
          <w:highlight w:val="yellow"/>
        </w:rPr>
        <w:t>24</w:t>
      </w:r>
      <w:r w:rsidR="00FA20CE" w:rsidRPr="00FA20CE">
        <w:rPr>
          <w:noProof/>
          <w:highlight w:val="yellow"/>
        </w:rPr>
        <w:t>.</w:t>
      </w:r>
      <w:r w:rsidR="00FA20CE" w:rsidRPr="00FA20CE">
        <w:rPr>
          <w:noProof/>
          <w:highlight w:val="yellow"/>
        </w:rPr>
        <w:tab/>
        <w:t>Ostbye T, Malhotra R, Chan A. Variation in and correlates of body mass status of older singaporean men and women: results from a national survey. Asia Pac J Public Health. 2013;25(1):48-62.</w:t>
      </w:r>
    </w:p>
    <w:p w14:paraId="79203964" w14:textId="6A79BC04" w:rsidR="00FA20CE" w:rsidRPr="00FA20CE" w:rsidRDefault="00EF656C" w:rsidP="00FA20CE">
      <w:pPr>
        <w:pStyle w:val="EndNoteBibliography"/>
        <w:spacing w:after="0" w:line="480" w:lineRule="auto"/>
        <w:rPr>
          <w:noProof/>
          <w:highlight w:val="yellow"/>
        </w:rPr>
      </w:pPr>
      <w:r>
        <w:rPr>
          <w:noProof/>
          <w:highlight w:val="yellow"/>
        </w:rPr>
        <w:t>25</w:t>
      </w:r>
      <w:r w:rsidR="00FA20CE" w:rsidRPr="00FA20CE">
        <w:rPr>
          <w:noProof/>
          <w:highlight w:val="yellow"/>
        </w:rPr>
        <w:t>.</w:t>
      </w:r>
      <w:r w:rsidR="00FA20CE" w:rsidRPr="00FA20CE">
        <w:rPr>
          <w:noProof/>
          <w:highlight w:val="yellow"/>
        </w:rPr>
        <w:tab/>
        <w:t>Vaezghasemi M, Ohman A, Eriksson M, Hakimi M, Weinehall L, Kusnanto H, et al. The effect of gender and social capital on the dual burden of malnutrition: a multilevel study in Indonesia. PLoS One. 2014;9(8):e103849.</w:t>
      </w:r>
    </w:p>
    <w:p w14:paraId="6446ABD6" w14:textId="60CC40B1" w:rsidR="00FA20CE" w:rsidRPr="00FA20CE" w:rsidRDefault="00EF656C" w:rsidP="00FA20CE">
      <w:pPr>
        <w:pStyle w:val="EndNoteBibliography"/>
        <w:spacing w:after="0" w:line="480" w:lineRule="auto"/>
        <w:rPr>
          <w:noProof/>
          <w:highlight w:val="yellow"/>
        </w:rPr>
      </w:pPr>
      <w:r>
        <w:rPr>
          <w:noProof/>
          <w:highlight w:val="yellow"/>
        </w:rPr>
        <w:t>26</w:t>
      </w:r>
      <w:r w:rsidR="00FA20CE" w:rsidRPr="00FA20CE">
        <w:rPr>
          <w:noProof/>
          <w:highlight w:val="yellow"/>
        </w:rPr>
        <w:t>.</w:t>
      </w:r>
      <w:r w:rsidR="00FA20CE" w:rsidRPr="00FA20CE">
        <w:rPr>
          <w:noProof/>
          <w:highlight w:val="yellow"/>
        </w:rPr>
        <w:tab/>
        <w:t>Stewart CP, Christian P, Wu LS, LeClerq SC, Khatry SK, West KP, Jr. Prevalence and risk factors of elevated blood pressure, overweight, and dyslipidemia in adolescent and young adults in rural Nepal. Metab Syndr Relat Disord. 2013;11(5):319-28.</w:t>
      </w:r>
    </w:p>
    <w:p w14:paraId="063B09FC" w14:textId="7BEC07A8" w:rsidR="00FA20CE" w:rsidRPr="00FA20CE" w:rsidRDefault="00EF656C" w:rsidP="00FA20CE">
      <w:pPr>
        <w:pStyle w:val="EndNoteBibliography"/>
        <w:spacing w:after="0" w:line="480" w:lineRule="auto"/>
        <w:rPr>
          <w:noProof/>
          <w:highlight w:val="yellow"/>
        </w:rPr>
      </w:pPr>
      <w:r>
        <w:rPr>
          <w:noProof/>
          <w:highlight w:val="yellow"/>
        </w:rPr>
        <w:t>27</w:t>
      </w:r>
      <w:r w:rsidR="00FA20CE" w:rsidRPr="00FA20CE">
        <w:rPr>
          <w:noProof/>
          <w:highlight w:val="yellow"/>
        </w:rPr>
        <w:t>.</w:t>
      </w:r>
      <w:r w:rsidR="00FA20CE" w:rsidRPr="00FA20CE">
        <w:rPr>
          <w:noProof/>
          <w:highlight w:val="yellow"/>
        </w:rPr>
        <w:tab/>
        <w:t>Abraham D, Cash HL, Durand AM, Denholm J, Moadsiri A, Gopalani SV, et al. High Prevalence of Non-Communicable Disease Risk Factors among Adolescents in Pohnpei, Micronesia. Hawaii J Med Public Health. 2018;77(11):283-8.</w:t>
      </w:r>
    </w:p>
    <w:p w14:paraId="21FAC8D6" w14:textId="60FEA9F1" w:rsidR="00FA20CE" w:rsidRPr="00FA20CE" w:rsidRDefault="00EF656C" w:rsidP="00FA20CE">
      <w:pPr>
        <w:pStyle w:val="EndNoteBibliography"/>
        <w:spacing w:after="0" w:line="480" w:lineRule="auto"/>
        <w:rPr>
          <w:noProof/>
          <w:highlight w:val="yellow"/>
        </w:rPr>
      </w:pPr>
      <w:r>
        <w:rPr>
          <w:noProof/>
          <w:highlight w:val="yellow"/>
        </w:rPr>
        <w:lastRenderedPageBreak/>
        <w:t>28</w:t>
      </w:r>
      <w:r w:rsidR="00FA20CE" w:rsidRPr="00FA20CE">
        <w:rPr>
          <w:noProof/>
          <w:highlight w:val="yellow"/>
        </w:rPr>
        <w:t>.</w:t>
      </w:r>
      <w:r w:rsidR="00FA20CE" w:rsidRPr="00FA20CE">
        <w:rPr>
          <w:noProof/>
          <w:highlight w:val="yellow"/>
        </w:rPr>
        <w:tab/>
        <w:t>Tubert-Jeannin S, Pichot H, Rouchon B, Pereira B, Hennequin M. Common risk indicators for oral diseases and obesity in 12-year-olds: a South Pacific cross sectional study. BMC Public Health. 2018;18(1):112.</w:t>
      </w:r>
    </w:p>
    <w:p w14:paraId="2CF78DBD" w14:textId="5988EE79" w:rsidR="00FA20CE" w:rsidRPr="00FA20CE" w:rsidRDefault="00EF656C" w:rsidP="00FA20CE">
      <w:pPr>
        <w:pStyle w:val="EndNoteBibliography"/>
        <w:spacing w:after="0" w:line="480" w:lineRule="auto"/>
        <w:rPr>
          <w:noProof/>
          <w:highlight w:val="yellow"/>
        </w:rPr>
      </w:pPr>
      <w:r>
        <w:rPr>
          <w:noProof/>
          <w:highlight w:val="yellow"/>
        </w:rPr>
        <w:t>29</w:t>
      </w:r>
      <w:r w:rsidR="00FA20CE" w:rsidRPr="00FA20CE">
        <w:rPr>
          <w:noProof/>
          <w:highlight w:val="yellow"/>
        </w:rPr>
        <w:t>.</w:t>
      </w:r>
      <w:r w:rsidR="00FA20CE" w:rsidRPr="00FA20CE">
        <w:rPr>
          <w:noProof/>
          <w:highlight w:val="yellow"/>
        </w:rPr>
        <w:tab/>
        <w:t>O'Dea JA, Dibley MJ. Prevalence of obesity, overweight and thinness in Australian children and adolescents by socioeconomic status and ethnic/cultural group in 2006 and 2012. Int J Public Health. 2014;59(5):819-28.</w:t>
      </w:r>
    </w:p>
    <w:p w14:paraId="300556E4" w14:textId="11543ABF" w:rsidR="00FA20CE" w:rsidRPr="00FA20CE" w:rsidRDefault="00EF656C" w:rsidP="00FA20CE">
      <w:pPr>
        <w:pStyle w:val="EndNoteBibliography"/>
        <w:spacing w:after="0" w:line="480" w:lineRule="auto"/>
        <w:rPr>
          <w:noProof/>
          <w:highlight w:val="yellow"/>
        </w:rPr>
      </w:pPr>
      <w:r>
        <w:rPr>
          <w:noProof/>
          <w:highlight w:val="yellow"/>
        </w:rPr>
        <w:t>30</w:t>
      </w:r>
      <w:r w:rsidR="00FA20CE" w:rsidRPr="00FA20CE">
        <w:rPr>
          <w:noProof/>
          <w:highlight w:val="yellow"/>
        </w:rPr>
        <w:t>.</w:t>
      </w:r>
      <w:r w:rsidR="00FA20CE" w:rsidRPr="00FA20CE">
        <w:rPr>
          <w:noProof/>
          <w:highlight w:val="yellow"/>
        </w:rPr>
        <w:tab/>
        <w:t>Wate JT, Snowdon W, Millar L, Nichols M, Mavoa H, Goundar R, et al. Adolescent dietary patterns in Fiji and their relationships with standardized body mass index. Int J Behav Nutr Phys Act. 2013;10:45.</w:t>
      </w:r>
    </w:p>
    <w:p w14:paraId="57E32A64" w14:textId="3E4C2E89" w:rsidR="00FA20CE" w:rsidRPr="00FA20CE" w:rsidRDefault="00EF656C" w:rsidP="00FA20CE">
      <w:pPr>
        <w:pStyle w:val="EndNoteBibliography"/>
        <w:spacing w:after="0" w:line="480" w:lineRule="auto"/>
        <w:rPr>
          <w:noProof/>
          <w:highlight w:val="yellow"/>
        </w:rPr>
      </w:pPr>
      <w:r>
        <w:rPr>
          <w:noProof/>
          <w:highlight w:val="yellow"/>
        </w:rPr>
        <w:t>31</w:t>
      </w:r>
      <w:r w:rsidR="00FA20CE" w:rsidRPr="00FA20CE">
        <w:rPr>
          <w:noProof/>
          <w:highlight w:val="yellow"/>
        </w:rPr>
        <w:t>.</w:t>
      </w:r>
      <w:r w:rsidR="00FA20CE" w:rsidRPr="00FA20CE">
        <w:rPr>
          <w:noProof/>
          <w:highlight w:val="yellow"/>
        </w:rPr>
        <w:tab/>
        <w:t>Achat HM, Stubbs JM. Socio-economic and ethnic differences in the prevalence of overweight and obesity among school children. J Paediatr Child Health. 2014;50(10):E77-84.</w:t>
      </w:r>
    </w:p>
    <w:p w14:paraId="40DE15B2" w14:textId="6F44119B" w:rsidR="00FA20CE" w:rsidRPr="00FA20CE" w:rsidRDefault="00EF656C" w:rsidP="00FA20CE">
      <w:pPr>
        <w:pStyle w:val="EndNoteBibliography"/>
        <w:spacing w:after="0" w:line="480" w:lineRule="auto"/>
        <w:rPr>
          <w:noProof/>
          <w:highlight w:val="yellow"/>
        </w:rPr>
      </w:pPr>
      <w:r>
        <w:rPr>
          <w:noProof/>
          <w:highlight w:val="yellow"/>
        </w:rPr>
        <w:t>32</w:t>
      </w:r>
      <w:r w:rsidR="00FA20CE" w:rsidRPr="00FA20CE">
        <w:rPr>
          <w:noProof/>
          <w:highlight w:val="yellow"/>
        </w:rPr>
        <w:t>.</w:t>
      </w:r>
      <w:r w:rsidR="00FA20CE" w:rsidRPr="00FA20CE">
        <w:rPr>
          <w:noProof/>
          <w:highlight w:val="yellow"/>
        </w:rPr>
        <w:tab/>
        <w:t>Utter J, Denny S, Crengle S, Ameratunga S, Robinson E, Clark T, et al. Overweight among New Zealand adolescents: associations with ethnicity and deprivation. Int J Pediatr Obes. 2010;5(6):461-6.</w:t>
      </w:r>
    </w:p>
    <w:p w14:paraId="22F31F90" w14:textId="381EF13E" w:rsidR="00FA20CE" w:rsidRPr="00C20357" w:rsidRDefault="00EF656C" w:rsidP="00FA20CE">
      <w:pPr>
        <w:pStyle w:val="EndNoteBibliography"/>
        <w:spacing w:after="0" w:line="480" w:lineRule="auto"/>
        <w:rPr>
          <w:noProof/>
        </w:rPr>
      </w:pPr>
      <w:r>
        <w:rPr>
          <w:noProof/>
          <w:highlight w:val="yellow"/>
        </w:rPr>
        <w:t>33</w:t>
      </w:r>
      <w:r w:rsidR="00FA20CE" w:rsidRPr="00FA20CE">
        <w:rPr>
          <w:noProof/>
          <w:highlight w:val="yellow"/>
        </w:rPr>
        <w:t>.</w:t>
      </w:r>
      <w:r w:rsidR="00FA20CE" w:rsidRPr="00FA20CE">
        <w:rPr>
          <w:noProof/>
          <w:highlight w:val="yellow"/>
        </w:rPr>
        <w:tab/>
        <w:t>Watson BM, Chiang C, Ikerdeu E, Yatsuya H, Honjo K, Mita T, et al. Profile of non-communicable disease risk factors among adults in the Republic of Palau: findings of a national STEPS survey. Nagoya J Med Sci. 2015;77(4):609-19.</w:t>
      </w:r>
    </w:p>
    <w:p w14:paraId="20894745" w14:textId="77777777" w:rsidR="00FA20CE" w:rsidRDefault="00FA20CE" w:rsidP="00EC6AEF">
      <w:pPr>
        <w:spacing w:after="0" w:line="240" w:lineRule="auto"/>
      </w:pPr>
    </w:p>
    <w:p w14:paraId="5C2D2DF0" w14:textId="77777777" w:rsidR="00FA20CE" w:rsidRDefault="00FA20CE" w:rsidP="00EC6AEF">
      <w:pPr>
        <w:spacing w:after="0" w:line="240" w:lineRule="auto"/>
      </w:pPr>
      <w:bookmarkStart w:id="0" w:name="_GoBack"/>
      <w:bookmarkEnd w:id="0"/>
    </w:p>
    <w:p w14:paraId="26B0AE85" w14:textId="3FE8CD28" w:rsidR="00EC6AEF" w:rsidRDefault="00EC6AEF" w:rsidP="00EC6AEF">
      <w:pPr>
        <w:spacing w:after="0" w:line="240" w:lineRule="auto"/>
      </w:pPr>
      <w:r>
        <w:rPr>
          <w:rFonts w:hint="eastAsia"/>
        </w:rPr>
        <w:t xml:space="preserve">Supplementary Table 1 Evaluation results of the 33 included </w:t>
      </w:r>
      <w:r>
        <w:t>studies</w:t>
      </w:r>
      <w:r>
        <w:rPr>
          <w:rFonts w:hint="eastAsia"/>
        </w:rPr>
        <w:t xml:space="preserve"> using the risk of bias tool for prevalence </w:t>
      </w:r>
      <w:r>
        <w:t>studies</w:t>
      </w:r>
      <w:r>
        <w:rPr>
          <w:rFonts w:hint="eastAsia"/>
        </w:rPr>
        <w:t xml:space="preserve">. </w:t>
      </w:r>
    </w:p>
    <w:tbl>
      <w:tblPr>
        <w:tblStyle w:val="TableGrid"/>
        <w:tblW w:w="0" w:type="auto"/>
        <w:tblLook w:val="04A0" w:firstRow="1" w:lastRow="0" w:firstColumn="1" w:lastColumn="0" w:noHBand="0" w:noVBand="1"/>
      </w:tblPr>
      <w:tblGrid>
        <w:gridCol w:w="593"/>
        <w:gridCol w:w="3021"/>
        <w:gridCol w:w="1368"/>
        <w:gridCol w:w="1342"/>
        <w:gridCol w:w="2692"/>
      </w:tblGrid>
      <w:tr w:rsidR="00EC6AEF" w:rsidRPr="00D16640" w14:paraId="088A1FFA" w14:textId="77777777" w:rsidTr="00AE322F">
        <w:tc>
          <w:tcPr>
            <w:tcW w:w="0" w:type="auto"/>
          </w:tcPr>
          <w:p w14:paraId="6323F3BD" w14:textId="77777777" w:rsidR="00EC6AEF" w:rsidRPr="00D16640" w:rsidRDefault="00EC6AEF" w:rsidP="00EC6AEF">
            <w:pPr>
              <w:rPr>
                <w:rFonts w:ascii="Calibri" w:hAnsi="Calibri"/>
                <w:sz w:val="20"/>
                <w:szCs w:val="20"/>
              </w:rPr>
            </w:pPr>
            <w:r w:rsidRPr="00D16640">
              <w:rPr>
                <w:rFonts w:ascii="Calibri" w:hAnsi="Calibri"/>
                <w:sz w:val="20"/>
                <w:szCs w:val="20"/>
              </w:rPr>
              <w:t>Item</w:t>
            </w:r>
          </w:p>
        </w:tc>
        <w:tc>
          <w:tcPr>
            <w:tcW w:w="0" w:type="auto"/>
          </w:tcPr>
          <w:p w14:paraId="754A882D" w14:textId="77777777" w:rsidR="00EC6AEF" w:rsidRPr="00D16640" w:rsidRDefault="00EC6AEF" w:rsidP="00EC6AEF">
            <w:pPr>
              <w:rPr>
                <w:rFonts w:ascii="Calibri" w:hAnsi="Calibri"/>
                <w:sz w:val="20"/>
                <w:szCs w:val="20"/>
              </w:rPr>
            </w:pPr>
          </w:p>
        </w:tc>
        <w:tc>
          <w:tcPr>
            <w:tcW w:w="0" w:type="auto"/>
          </w:tcPr>
          <w:p w14:paraId="4757237A" w14:textId="77777777" w:rsidR="00EC6AEF" w:rsidRPr="00D16640" w:rsidRDefault="00EC6AEF" w:rsidP="00EC6AEF">
            <w:pPr>
              <w:rPr>
                <w:rFonts w:ascii="Calibri" w:hAnsi="Calibri"/>
                <w:sz w:val="20"/>
                <w:szCs w:val="20"/>
              </w:rPr>
            </w:pPr>
            <w:r w:rsidRPr="00D16640">
              <w:rPr>
                <w:rFonts w:ascii="Calibri" w:hAnsi="Calibri"/>
                <w:sz w:val="20"/>
                <w:szCs w:val="20"/>
              </w:rPr>
              <w:t>No. of studies evaluated positive</w:t>
            </w:r>
          </w:p>
        </w:tc>
        <w:tc>
          <w:tcPr>
            <w:tcW w:w="0" w:type="auto"/>
          </w:tcPr>
          <w:p w14:paraId="74F8E658" w14:textId="77777777" w:rsidR="00EC6AEF" w:rsidRPr="00D16640" w:rsidRDefault="00EC6AEF" w:rsidP="00EC6AEF">
            <w:pPr>
              <w:rPr>
                <w:rFonts w:ascii="Calibri" w:hAnsi="Calibri"/>
                <w:sz w:val="20"/>
                <w:szCs w:val="20"/>
              </w:rPr>
            </w:pPr>
            <w:r w:rsidRPr="00D16640">
              <w:rPr>
                <w:rFonts w:ascii="Calibri" w:hAnsi="Calibri"/>
                <w:sz w:val="20"/>
                <w:szCs w:val="20"/>
              </w:rPr>
              <w:t>% of studies evaluated positive</w:t>
            </w:r>
          </w:p>
        </w:tc>
        <w:tc>
          <w:tcPr>
            <w:tcW w:w="0" w:type="auto"/>
          </w:tcPr>
          <w:p w14:paraId="0BA9B4CF" w14:textId="77777777" w:rsidR="00EC6AEF" w:rsidRPr="00D16640" w:rsidRDefault="00EC6AEF" w:rsidP="00EC6AEF">
            <w:pPr>
              <w:rPr>
                <w:rFonts w:ascii="Calibri" w:hAnsi="Calibri"/>
                <w:sz w:val="20"/>
                <w:szCs w:val="20"/>
              </w:rPr>
            </w:pPr>
            <w:r w:rsidRPr="00D16640">
              <w:rPr>
                <w:rFonts w:ascii="Calibri" w:hAnsi="Calibri"/>
                <w:sz w:val="20"/>
                <w:szCs w:val="20"/>
              </w:rPr>
              <w:t>Comments</w:t>
            </w:r>
          </w:p>
        </w:tc>
      </w:tr>
      <w:tr w:rsidR="00EC6AEF" w:rsidRPr="00D16640" w14:paraId="0E710D0D" w14:textId="77777777" w:rsidTr="00AE322F">
        <w:tc>
          <w:tcPr>
            <w:tcW w:w="0" w:type="auto"/>
            <w:gridSpan w:val="2"/>
          </w:tcPr>
          <w:p w14:paraId="35F964D5" w14:textId="77777777" w:rsidR="00EC6AEF" w:rsidRPr="00D16640" w:rsidRDefault="00EC6AEF" w:rsidP="00EC6AEF">
            <w:pPr>
              <w:rPr>
                <w:rFonts w:ascii="Calibri" w:hAnsi="Calibri"/>
                <w:sz w:val="20"/>
                <w:szCs w:val="20"/>
              </w:rPr>
            </w:pPr>
            <w:r w:rsidRPr="00D16640">
              <w:rPr>
                <w:rFonts w:ascii="Calibri" w:hAnsi="Calibri"/>
                <w:sz w:val="20"/>
                <w:szCs w:val="20"/>
              </w:rPr>
              <w:t>External validity</w:t>
            </w:r>
          </w:p>
        </w:tc>
        <w:tc>
          <w:tcPr>
            <w:tcW w:w="0" w:type="auto"/>
          </w:tcPr>
          <w:p w14:paraId="3B9DFCE5" w14:textId="77777777" w:rsidR="00EC6AEF" w:rsidRPr="00D16640" w:rsidRDefault="00EC6AEF" w:rsidP="00EC6AEF">
            <w:pPr>
              <w:rPr>
                <w:rFonts w:ascii="Calibri" w:hAnsi="Calibri"/>
                <w:sz w:val="20"/>
                <w:szCs w:val="20"/>
              </w:rPr>
            </w:pPr>
          </w:p>
        </w:tc>
        <w:tc>
          <w:tcPr>
            <w:tcW w:w="0" w:type="auto"/>
          </w:tcPr>
          <w:p w14:paraId="36FBBBE7" w14:textId="77777777" w:rsidR="00EC6AEF" w:rsidRPr="00D16640" w:rsidRDefault="00EC6AEF" w:rsidP="00EC6AEF">
            <w:pPr>
              <w:rPr>
                <w:rFonts w:ascii="Calibri" w:hAnsi="Calibri"/>
                <w:sz w:val="20"/>
                <w:szCs w:val="20"/>
              </w:rPr>
            </w:pPr>
          </w:p>
        </w:tc>
        <w:tc>
          <w:tcPr>
            <w:tcW w:w="0" w:type="auto"/>
          </w:tcPr>
          <w:p w14:paraId="7264572B" w14:textId="77777777" w:rsidR="00EC6AEF" w:rsidRPr="00D16640" w:rsidRDefault="00EC6AEF" w:rsidP="00EC6AEF">
            <w:pPr>
              <w:rPr>
                <w:rFonts w:ascii="Calibri" w:hAnsi="Calibri"/>
                <w:sz w:val="20"/>
                <w:szCs w:val="20"/>
              </w:rPr>
            </w:pPr>
          </w:p>
        </w:tc>
      </w:tr>
      <w:tr w:rsidR="00EC6AEF" w:rsidRPr="00D16640" w14:paraId="3EF27F21" w14:textId="77777777" w:rsidTr="00AE322F">
        <w:tc>
          <w:tcPr>
            <w:tcW w:w="0" w:type="auto"/>
          </w:tcPr>
          <w:p w14:paraId="220E6C17" w14:textId="77777777" w:rsidR="00EC6AEF" w:rsidRPr="00D16640" w:rsidRDefault="00EC6AEF" w:rsidP="00EC6AEF">
            <w:pPr>
              <w:rPr>
                <w:rFonts w:ascii="Calibri" w:hAnsi="Calibri"/>
                <w:sz w:val="20"/>
                <w:szCs w:val="20"/>
              </w:rPr>
            </w:pPr>
            <w:r w:rsidRPr="00D16640">
              <w:rPr>
                <w:rFonts w:ascii="Calibri" w:hAnsi="Calibri"/>
                <w:sz w:val="20"/>
                <w:szCs w:val="20"/>
              </w:rPr>
              <w:t>1</w:t>
            </w:r>
          </w:p>
        </w:tc>
        <w:tc>
          <w:tcPr>
            <w:tcW w:w="0" w:type="auto"/>
          </w:tcPr>
          <w:p w14:paraId="1E5562F5" w14:textId="77777777" w:rsidR="00EC6AEF" w:rsidRPr="00D16640" w:rsidRDefault="00EC6AEF" w:rsidP="00EC6AEF">
            <w:pPr>
              <w:rPr>
                <w:rFonts w:ascii="Calibri" w:hAnsi="Calibri"/>
                <w:sz w:val="20"/>
                <w:szCs w:val="20"/>
              </w:rPr>
            </w:pPr>
            <w:r w:rsidRPr="00D16640">
              <w:rPr>
                <w:rFonts w:ascii="Calibri" w:hAnsi="Calibri"/>
                <w:sz w:val="20"/>
                <w:szCs w:val="20"/>
              </w:rPr>
              <w:t xml:space="preserve">Was the study’s target population a close representation of the national population in relation to relevant variables? </w:t>
            </w:r>
          </w:p>
        </w:tc>
        <w:tc>
          <w:tcPr>
            <w:tcW w:w="0" w:type="auto"/>
            <w:vAlign w:val="center"/>
          </w:tcPr>
          <w:p w14:paraId="4CC2181C" w14:textId="77777777" w:rsidR="00EC6AEF" w:rsidRPr="00D16640" w:rsidRDefault="00EC6AEF" w:rsidP="00EC6AEF">
            <w:pPr>
              <w:rPr>
                <w:rFonts w:ascii="Calibri" w:hAnsi="Calibri"/>
                <w:sz w:val="20"/>
                <w:szCs w:val="20"/>
              </w:rPr>
            </w:pPr>
            <w:r w:rsidRPr="00182B01">
              <w:rPr>
                <w:rFonts w:ascii="Calibri" w:hAnsi="Calibri"/>
                <w:sz w:val="20"/>
                <w:szCs w:val="20"/>
              </w:rPr>
              <w:t>14</w:t>
            </w:r>
          </w:p>
        </w:tc>
        <w:tc>
          <w:tcPr>
            <w:tcW w:w="0" w:type="auto"/>
            <w:vAlign w:val="center"/>
          </w:tcPr>
          <w:p w14:paraId="4D23D279" w14:textId="77777777" w:rsidR="00EC6AEF" w:rsidRPr="00D16640" w:rsidRDefault="00EC6AEF" w:rsidP="00EC6AEF">
            <w:pPr>
              <w:rPr>
                <w:rFonts w:ascii="Calibri" w:hAnsi="Calibri"/>
                <w:sz w:val="20"/>
                <w:szCs w:val="20"/>
              </w:rPr>
            </w:pPr>
            <w:r w:rsidRPr="00182B01">
              <w:rPr>
                <w:rFonts w:ascii="Calibri" w:hAnsi="Calibri"/>
                <w:sz w:val="20"/>
                <w:szCs w:val="20"/>
              </w:rPr>
              <w:t>42.4%</w:t>
            </w:r>
          </w:p>
        </w:tc>
        <w:tc>
          <w:tcPr>
            <w:tcW w:w="0" w:type="auto"/>
          </w:tcPr>
          <w:p w14:paraId="724E3FCD" w14:textId="77777777" w:rsidR="00EC6AEF" w:rsidRPr="00D16640" w:rsidRDefault="00EC6AEF" w:rsidP="00EC6AEF">
            <w:pPr>
              <w:rPr>
                <w:rFonts w:ascii="Calibri" w:hAnsi="Calibri"/>
                <w:sz w:val="20"/>
                <w:szCs w:val="20"/>
              </w:rPr>
            </w:pPr>
            <w:r w:rsidRPr="00D16640">
              <w:rPr>
                <w:rFonts w:ascii="Calibri" w:hAnsi="Calibri"/>
                <w:sz w:val="20"/>
                <w:szCs w:val="20"/>
              </w:rPr>
              <w:t>-</w:t>
            </w:r>
          </w:p>
        </w:tc>
      </w:tr>
      <w:tr w:rsidR="00EC6AEF" w:rsidRPr="00D16640" w14:paraId="166AB741" w14:textId="77777777" w:rsidTr="00AE322F">
        <w:tc>
          <w:tcPr>
            <w:tcW w:w="0" w:type="auto"/>
          </w:tcPr>
          <w:p w14:paraId="7803DEF0" w14:textId="77777777" w:rsidR="00EC6AEF" w:rsidRPr="00D16640" w:rsidRDefault="00EC6AEF" w:rsidP="00EC6AEF">
            <w:pPr>
              <w:rPr>
                <w:rFonts w:ascii="Calibri" w:hAnsi="Calibri"/>
                <w:sz w:val="20"/>
                <w:szCs w:val="20"/>
              </w:rPr>
            </w:pPr>
            <w:r w:rsidRPr="00D16640">
              <w:rPr>
                <w:rFonts w:ascii="Calibri" w:hAnsi="Calibri"/>
                <w:sz w:val="20"/>
                <w:szCs w:val="20"/>
              </w:rPr>
              <w:t>2</w:t>
            </w:r>
          </w:p>
        </w:tc>
        <w:tc>
          <w:tcPr>
            <w:tcW w:w="0" w:type="auto"/>
          </w:tcPr>
          <w:p w14:paraId="478CA81B" w14:textId="77777777" w:rsidR="00EC6AEF" w:rsidRPr="00D16640" w:rsidRDefault="00EC6AEF" w:rsidP="00EC6AEF">
            <w:pPr>
              <w:rPr>
                <w:rFonts w:ascii="Calibri" w:hAnsi="Calibri"/>
                <w:sz w:val="20"/>
                <w:szCs w:val="20"/>
              </w:rPr>
            </w:pPr>
            <w:r w:rsidRPr="00D16640">
              <w:rPr>
                <w:rFonts w:ascii="Calibri" w:hAnsi="Calibri"/>
                <w:sz w:val="20"/>
                <w:szCs w:val="20"/>
              </w:rPr>
              <w:t xml:space="preserve">Was the sampling frame a true or close representation of the target population? </w:t>
            </w:r>
          </w:p>
        </w:tc>
        <w:tc>
          <w:tcPr>
            <w:tcW w:w="0" w:type="auto"/>
            <w:vAlign w:val="center"/>
          </w:tcPr>
          <w:p w14:paraId="7A19E4A7" w14:textId="77777777" w:rsidR="00EC6AEF" w:rsidRPr="00D16640" w:rsidRDefault="00EC6AEF" w:rsidP="00EC6AEF">
            <w:pPr>
              <w:rPr>
                <w:rFonts w:ascii="Calibri" w:hAnsi="Calibri"/>
                <w:sz w:val="20"/>
                <w:szCs w:val="20"/>
              </w:rPr>
            </w:pPr>
            <w:r w:rsidRPr="00182B01">
              <w:rPr>
                <w:rFonts w:ascii="Calibri" w:hAnsi="Calibri"/>
                <w:sz w:val="20"/>
                <w:szCs w:val="20"/>
              </w:rPr>
              <w:t>26</w:t>
            </w:r>
          </w:p>
        </w:tc>
        <w:tc>
          <w:tcPr>
            <w:tcW w:w="0" w:type="auto"/>
            <w:vAlign w:val="center"/>
          </w:tcPr>
          <w:p w14:paraId="4E65DA7F" w14:textId="77777777" w:rsidR="00EC6AEF" w:rsidRPr="00D16640" w:rsidRDefault="00EC6AEF" w:rsidP="00EC6AEF">
            <w:pPr>
              <w:rPr>
                <w:rFonts w:ascii="Calibri" w:hAnsi="Calibri"/>
                <w:sz w:val="20"/>
                <w:szCs w:val="20"/>
              </w:rPr>
            </w:pPr>
            <w:r w:rsidRPr="00182B01">
              <w:rPr>
                <w:rFonts w:ascii="Calibri" w:hAnsi="Calibri"/>
                <w:sz w:val="20"/>
                <w:szCs w:val="20"/>
              </w:rPr>
              <w:t>78.8%</w:t>
            </w:r>
          </w:p>
        </w:tc>
        <w:tc>
          <w:tcPr>
            <w:tcW w:w="0" w:type="auto"/>
          </w:tcPr>
          <w:p w14:paraId="347C0F7B" w14:textId="77777777" w:rsidR="00EC6AEF" w:rsidRPr="00D16640" w:rsidRDefault="00EC6AEF" w:rsidP="00EC6AEF">
            <w:pPr>
              <w:rPr>
                <w:rFonts w:ascii="Calibri" w:hAnsi="Calibri"/>
                <w:sz w:val="20"/>
                <w:szCs w:val="20"/>
              </w:rPr>
            </w:pPr>
            <w:r w:rsidRPr="00D16640">
              <w:rPr>
                <w:rFonts w:ascii="Calibri" w:hAnsi="Calibri"/>
                <w:sz w:val="20"/>
                <w:szCs w:val="20"/>
              </w:rPr>
              <w:t>-</w:t>
            </w:r>
          </w:p>
        </w:tc>
      </w:tr>
      <w:tr w:rsidR="00EC6AEF" w:rsidRPr="00D16640" w14:paraId="619B6F87" w14:textId="77777777" w:rsidTr="00AE322F">
        <w:tc>
          <w:tcPr>
            <w:tcW w:w="0" w:type="auto"/>
          </w:tcPr>
          <w:p w14:paraId="1704FCBA" w14:textId="77777777" w:rsidR="00EC6AEF" w:rsidRPr="00D16640" w:rsidRDefault="00EC6AEF" w:rsidP="00EC6AEF">
            <w:pPr>
              <w:rPr>
                <w:rFonts w:ascii="Calibri" w:hAnsi="Calibri"/>
                <w:sz w:val="20"/>
                <w:szCs w:val="20"/>
              </w:rPr>
            </w:pPr>
            <w:r w:rsidRPr="00D16640">
              <w:rPr>
                <w:rFonts w:ascii="Calibri" w:hAnsi="Calibri"/>
                <w:sz w:val="20"/>
                <w:szCs w:val="20"/>
              </w:rPr>
              <w:t>3</w:t>
            </w:r>
          </w:p>
        </w:tc>
        <w:tc>
          <w:tcPr>
            <w:tcW w:w="0" w:type="auto"/>
          </w:tcPr>
          <w:p w14:paraId="35602351" w14:textId="77777777" w:rsidR="00EC6AEF" w:rsidRPr="00D16640" w:rsidRDefault="00EC6AEF" w:rsidP="00EC6AEF">
            <w:pPr>
              <w:rPr>
                <w:rFonts w:ascii="Calibri" w:hAnsi="Calibri"/>
                <w:sz w:val="20"/>
                <w:szCs w:val="20"/>
              </w:rPr>
            </w:pPr>
            <w:r w:rsidRPr="00D16640">
              <w:rPr>
                <w:rFonts w:ascii="Calibri" w:hAnsi="Calibri"/>
                <w:sz w:val="20"/>
                <w:szCs w:val="20"/>
              </w:rPr>
              <w:t xml:space="preserve">Was some form of random selection used to select the sample, OR was a census undertaken? </w:t>
            </w:r>
          </w:p>
        </w:tc>
        <w:tc>
          <w:tcPr>
            <w:tcW w:w="0" w:type="auto"/>
            <w:vAlign w:val="center"/>
          </w:tcPr>
          <w:p w14:paraId="4437B9A9" w14:textId="77777777" w:rsidR="00EC6AEF" w:rsidRPr="00D16640" w:rsidRDefault="00EC6AEF" w:rsidP="00EC6AEF">
            <w:pPr>
              <w:rPr>
                <w:rFonts w:ascii="Calibri" w:hAnsi="Calibri"/>
                <w:sz w:val="20"/>
                <w:szCs w:val="20"/>
              </w:rPr>
            </w:pPr>
            <w:r w:rsidRPr="00182B01">
              <w:rPr>
                <w:rFonts w:ascii="Calibri" w:hAnsi="Calibri"/>
                <w:sz w:val="20"/>
                <w:szCs w:val="20"/>
              </w:rPr>
              <w:t>30</w:t>
            </w:r>
          </w:p>
        </w:tc>
        <w:tc>
          <w:tcPr>
            <w:tcW w:w="0" w:type="auto"/>
            <w:vAlign w:val="center"/>
          </w:tcPr>
          <w:p w14:paraId="28DA5D11" w14:textId="77777777" w:rsidR="00EC6AEF" w:rsidRPr="00D16640" w:rsidRDefault="00EC6AEF" w:rsidP="00EC6AEF">
            <w:pPr>
              <w:rPr>
                <w:rFonts w:ascii="Calibri" w:hAnsi="Calibri"/>
                <w:sz w:val="20"/>
                <w:szCs w:val="20"/>
              </w:rPr>
            </w:pPr>
            <w:r w:rsidRPr="00182B01">
              <w:rPr>
                <w:rFonts w:ascii="Calibri" w:hAnsi="Calibri"/>
                <w:sz w:val="20"/>
                <w:szCs w:val="20"/>
              </w:rPr>
              <w:t>90.9%</w:t>
            </w:r>
          </w:p>
        </w:tc>
        <w:tc>
          <w:tcPr>
            <w:tcW w:w="0" w:type="auto"/>
          </w:tcPr>
          <w:p w14:paraId="5C311264" w14:textId="77777777" w:rsidR="00EC6AEF" w:rsidRPr="00D16640" w:rsidRDefault="00EC6AEF" w:rsidP="00EC6AEF">
            <w:pPr>
              <w:rPr>
                <w:rFonts w:ascii="Calibri" w:hAnsi="Calibri"/>
                <w:sz w:val="20"/>
                <w:szCs w:val="20"/>
              </w:rPr>
            </w:pPr>
          </w:p>
        </w:tc>
      </w:tr>
      <w:tr w:rsidR="00EC6AEF" w:rsidRPr="00D16640" w14:paraId="3C173C1C" w14:textId="77777777" w:rsidTr="00AE322F">
        <w:tc>
          <w:tcPr>
            <w:tcW w:w="0" w:type="auto"/>
          </w:tcPr>
          <w:p w14:paraId="231268C9" w14:textId="77777777" w:rsidR="00EC6AEF" w:rsidRPr="00D16640" w:rsidRDefault="00EC6AEF" w:rsidP="00EC6AEF">
            <w:pPr>
              <w:rPr>
                <w:rFonts w:ascii="Calibri" w:hAnsi="Calibri"/>
                <w:sz w:val="20"/>
                <w:szCs w:val="20"/>
              </w:rPr>
            </w:pPr>
            <w:r w:rsidRPr="00D16640">
              <w:rPr>
                <w:rFonts w:ascii="Calibri" w:hAnsi="Calibri"/>
                <w:sz w:val="20"/>
                <w:szCs w:val="20"/>
              </w:rPr>
              <w:t>4</w:t>
            </w:r>
          </w:p>
        </w:tc>
        <w:tc>
          <w:tcPr>
            <w:tcW w:w="0" w:type="auto"/>
          </w:tcPr>
          <w:p w14:paraId="144A9939" w14:textId="77777777" w:rsidR="00EC6AEF" w:rsidRPr="00D16640" w:rsidRDefault="00EC6AEF" w:rsidP="00EC6AEF">
            <w:pPr>
              <w:rPr>
                <w:rFonts w:ascii="Calibri" w:hAnsi="Calibri"/>
                <w:sz w:val="20"/>
                <w:szCs w:val="20"/>
              </w:rPr>
            </w:pPr>
            <w:r w:rsidRPr="00D16640">
              <w:rPr>
                <w:rFonts w:ascii="Calibri" w:hAnsi="Calibri"/>
                <w:sz w:val="20"/>
                <w:szCs w:val="20"/>
              </w:rPr>
              <w:t xml:space="preserve">Was the likelihood of nonresponse bias minimal? </w:t>
            </w:r>
          </w:p>
        </w:tc>
        <w:tc>
          <w:tcPr>
            <w:tcW w:w="0" w:type="auto"/>
            <w:vAlign w:val="center"/>
          </w:tcPr>
          <w:p w14:paraId="0CE4EE03" w14:textId="77777777" w:rsidR="00EC6AEF" w:rsidRPr="00D16640" w:rsidRDefault="00EC6AEF" w:rsidP="00EC6AEF">
            <w:pPr>
              <w:rPr>
                <w:rFonts w:ascii="Calibri" w:hAnsi="Calibri"/>
                <w:sz w:val="20"/>
                <w:szCs w:val="20"/>
              </w:rPr>
            </w:pPr>
            <w:r w:rsidRPr="00182B01">
              <w:rPr>
                <w:rFonts w:ascii="Calibri" w:hAnsi="Calibri"/>
                <w:sz w:val="20"/>
                <w:szCs w:val="20"/>
              </w:rPr>
              <w:t>1</w:t>
            </w:r>
            <w:r w:rsidRPr="00286879">
              <w:rPr>
                <w:rFonts w:ascii="Calibri" w:hAnsi="Calibri" w:hint="eastAsia"/>
                <w:sz w:val="20"/>
                <w:szCs w:val="20"/>
              </w:rPr>
              <w:t>4</w:t>
            </w:r>
          </w:p>
        </w:tc>
        <w:tc>
          <w:tcPr>
            <w:tcW w:w="0" w:type="auto"/>
            <w:vAlign w:val="center"/>
          </w:tcPr>
          <w:p w14:paraId="458B9573" w14:textId="77777777" w:rsidR="00EC6AEF" w:rsidRPr="00D16640" w:rsidRDefault="00EC6AEF" w:rsidP="00EC6AEF">
            <w:pPr>
              <w:rPr>
                <w:rFonts w:ascii="Calibri" w:hAnsi="Calibri"/>
                <w:sz w:val="20"/>
                <w:szCs w:val="20"/>
              </w:rPr>
            </w:pPr>
            <w:r>
              <w:rPr>
                <w:rFonts w:ascii="Calibri" w:hAnsi="Calibri" w:hint="eastAsia"/>
                <w:sz w:val="20"/>
                <w:szCs w:val="20"/>
              </w:rPr>
              <w:t>42.4%</w:t>
            </w:r>
          </w:p>
        </w:tc>
        <w:tc>
          <w:tcPr>
            <w:tcW w:w="0" w:type="auto"/>
          </w:tcPr>
          <w:p w14:paraId="16F124A3" w14:textId="77777777" w:rsidR="00EC6AEF" w:rsidRPr="00D16640" w:rsidRDefault="00EC6AEF" w:rsidP="00EC6AEF">
            <w:pPr>
              <w:rPr>
                <w:rFonts w:ascii="Calibri" w:hAnsi="Calibri"/>
                <w:sz w:val="20"/>
                <w:szCs w:val="20"/>
              </w:rPr>
            </w:pPr>
          </w:p>
        </w:tc>
      </w:tr>
      <w:tr w:rsidR="00EC6AEF" w:rsidRPr="00D16640" w14:paraId="4A63989B" w14:textId="77777777" w:rsidTr="00AE322F">
        <w:tc>
          <w:tcPr>
            <w:tcW w:w="0" w:type="auto"/>
            <w:gridSpan w:val="2"/>
          </w:tcPr>
          <w:p w14:paraId="6269CF2B" w14:textId="77777777" w:rsidR="00EC6AEF" w:rsidRPr="00D16640" w:rsidRDefault="00EC6AEF" w:rsidP="00EC6AEF">
            <w:pPr>
              <w:rPr>
                <w:rFonts w:ascii="Calibri" w:hAnsi="Calibri"/>
                <w:sz w:val="20"/>
                <w:szCs w:val="20"/>
              </w:rPr>
            </w:pPr>
            <w:r w:rsidRPr="00D16640">
              <w:rPr>
                <w:rFonts w:ascii="Calibri" w:hAnsi="Calibri"/>
                <w:sz w:val="20"/>
                <w:szCs w:val="20"/>
              </w:rPr>
              <w:lastRenderedPageBreak/>
              <w:t>Internal validity</w:t>
            </w:r>
          </w:p>
        </w:tc>
        <w:tc>
          <w:tcPr>
            <w:tcW w:w="0" w:type="auto"/>
          </w:tcPr>
          <w:p w14:paraId="103D8C06" w14:textId="77777777" w:rsidR="00EC6AEF" w:rsidRPr="00D16640" w:rsidRDefault="00EC6AEF" w:rsidP="00EC6AEF">
            <w:pPr>
              <w:rPr>
                <w:rFonts w:ascii="Calibri" w:hAnsi="Calibri"/>
                <w:sz w:val="20"/>
                <w:szCs w:val="20"/>
              </w:rPr>
            </w:pPr>
          </w:p>
        </w:tc>
        <w:tc>
          <w:tcPr>
            <w:tcW w:w="0" w:type="auto"/>
          </w:tcPr>
          <w:p w14:paraId="24318F22" w14:textId="77777777" w:rsidR="00EC6AEF" w:rsidRPr="00D16640" w:rsidRDefault="00EC6AEF" w:rsidP="00EC6AEF">
            <w:pPr>
              <w:rPr>
                <w:rFonts w:ascii="Calibri" w:hAnsi="Calibri"/>
                <w:sz w:val="20"/>
                <w:szCs w:val="20"/>
              </w:rPr>
            </w:pPr>
          </w:p>
        </w:tc>
        <w:tc>
          <w:tcPr>
            <w:tcW w:w="0" w:type="auto"/>
          </w:tcPr>
          <w:p w14:paraId="1C4CD3BC" w14:textId="77777777" w:rsidR="00EC6AEF" w:rsidRPr="00D16640" w:rsidRDefault="00EC6AEF" w:rsidP="00EC6AEF">
            <w:pPr>
              <w:rPr>
                <w:rFonts w:ascii="Calibri" w:hAnsi="Calibri"/>
                <w:sz w:val="20"/>
                <w:szCs w:val="20"/>
              </w:rPr>
            </w:pPr>
          </w:p>
        </w:tc>
      </w:tr>
      <w:tr w:rsidR="00EC6AEF" w:rsidRPr="00D16640" w14:paraId="07379637" w14:textId="77777777" w:rsidTr="00AE322F">
        <w:tc>
          <w:tcPr>
            <w:tcW w:w="0" w:type="auto"/>
          </w:tcPr>
          <w:p w14:paraId="69E24CD2" w14:textId="77777777" w:rsidR="00EC6AEF" w:rsidRPr="00D16640" w:rsidRDefault="00EC6AEF" w:rsidP="00EC6AEF">
            <w:pPr>
              <w:rPr>
                <w:rFonts w:ascii="Calibri" w:hAnsi="Calibri"/>
                <w:sz w:val="20"/>
                <w:szCs w:val="20"/>
              </w:rPr>
            </w:pPr>
            <w:r w:rsidRPr="00D16640">
              <w:rPr>
                <w:rFonts w:ascii="Calibri" w:hAnsi="Calibri"/>
                <w:sz w:val="20"/>
                <w:szCs w:val="20"/>
              </w:rPr>
              <w:t>5</w:t>
            </w:r>
          </w:p>
        </w:tc>
        <w:tc>
          <w:tcPr>
            <w:tcW w:w="0" w:type="auto"/>
          </w:tcPr>
          <w:p w14:paraId="29A9FE50" w14:textId="77777777" w:rsidR="00EC6AEF" w:rsidRPr="00D16640" w:rsidRDefault="00EC6AEF" w:rsidP="00EC6AEF">
            <w:pPr>
              <w:rPr>
                <w:rFonts w:ascii="Calibri" w:hAnsi="Calibri"/>
                <w:sz w:val="20"/>
                <w:szCs w:val="20"/>
              </w:rPr>
            </w:pPr>
            <w:r w:rsidRPr="00D16640">
              <w:rPr>
                <w:rFonts w:ascii="Calibri" w:hAnsi="Calibri"/>
                <w:sz w:val="20"/>
                <w:szCs w:val="20"/>
              </w:rPr>
              <w:t>Were data collected directly from the subjects (as opposed to a proxy)?</w:t>
            </w:r>
          </w:p>
        </w:tc>
        <w:tc>
          <w:tcPr>
            <w:tcW w:w="0" w:type="auto"/>
            <w:vAlign w:val="center"/>
          </w:tcPr>
          <w:p w14:paraId="798E1DB9" w14:textId="77777777" w:rsidR="00EC6AEF" w:rsidRPr="00D16640" w:rsidRDefault="00EC6AEF" w:rsidP="00EC6AEF">
            <w:pPr>
              <w:rPr>
                <w:rFonts w:ascii="Calibri" w:hAnsi="Calibri"/>
                <w:sz w:val="20"/>
                <w:szCs w:val="20"/>
              </w:rPr>
            </w:pPr>
            <w:r w:rsidRPr="00182B01">
              <w:rPr>
                <w:rFonts w:ascii="Calibri" w:hAnsi="Calibri"/>
                <w:sz w:val="20"/>
                <w:szCs w:val="20"/>
              </w:rPr>
              <w:t>33</w:t>
            </w:r>
          </w:p>
        </w:tc>
        <w:tc>
          <w:tcPr>
            <w:tcW w:w="0" w:type="auto"/>
            <w:vAlign w:val="center"/>
          </w:tcPr>
          <w:p w14:paraId="5C173A2A" w14:textId="77777777" w:rsidR="00EC6AEF" w:rsidRPr="00D16640" w:rsidRDefault="00EC6AEF" w:rsidP="00EC6AEF">
            <w:pPr>
              <w:rPr>
                <w:rFonts w:ascii="Calibri" w:hAnsi="Calibri"/>
                <w:sz w:val="20"/>
                <w:szCs w:val="20"/>
              </w:rPr>
            </w:pPr>
            <w:r w:rsidRPr="00182B01">
              <w:rPr>
                <w:rFonts w:ascii="Calibri" w:hAnsi="Calibri"/>
                <w:sz w:val="20"/>
                <w:szCs w:val="20"/>
              </w:rPr>
              <w:t>100.0%</w:t>
            </w:r>
          </w:p>
        </w:tc>
        <w:tc>
          <w:tcPr>
            <w:tcW w:w="0" w:type="auto"/>
          </w:tcPr>
          <w:p w14:paraId="021F561F" w14:textId="77777777" w:rsidR="00EC6AEF" w:rsidRPr="00D16640" w:rsidRDefault="00EC6AEF" w:rsidP="00EC6AEF">
            <w:pPr>
              <w:rPr>
                <w:rFonts w:ascii="Calibri" w:hAnsi="Calibri"/>
                <w:sz w:val="20"/>
                <w:szCs w:val="20"/>
              </w:rPr>
            </w:pPr>
            <w:r w:rsidRPr="00D16640">
              <w:rPr>
                <w:rFonts w:ascii="Calibri" w:hAnsi="Calibri"/>
                <w:sz w:val="20"/>
                <w:szCs w:val="20"/>
              </w:rPr>
              <w:t xml:space="preserve">Variables for primary outcome (bodyweight, height, etc.) were directly collected from the subjects. </w:t>
            </w:r>
          </w:p>
        </w:tc>
      </w:tr>
      <w:tr w:rsidR="00EC6AEF" w:rsidRPr="00D16640" w14:paraId="3D77ED1C" w14:textId="77777777" w:rsidTr="00AE322F">
        <w:tc>
          <w:tcPr>
            <w:tcW w:w="0" w:type="auto"/>
          </w:tcPr>
          <w:p w14:paraId="7A8A833D" w14:textId="77777777" w:rsidR="00EC6AEF" w:rsidRPr="00D16640" w:rsidRDefault="00EC6AEF" w:rsidP="00EC6AEF">
            <w:pPr>
              <w:rPr>
                <w:rFonts w:ascii="Calibri" w:hAnsi="Calibri"/>
                <w:sz w:val="20"/>
                <w:szCs w:val="20"/>
              </w:rPr>
            </w:pPr>
            <w:r w:rsidRPr="00D16640">
              <w:rPr>
                <w:rFonts w:ascii="Calibri" w:hAnsi="Calibri"/>
                <w:sz w:val="20"/>
                <w:szCs w:val="20"/>
              </w:rPr>
              <w:t>6</w:t>
            </w:r>
          </w:p>
        </w:tc>
        <w:tc>
          <w:tcPr>
            <w:tcW w:w="0" w:type="auto"/>
          </w:tcPr>
          <w:p w14:paraId="2ED9A207" w14:textId="77777777" w:rsidR="00EC6AEF" w:rsidRPr="00D16640" w:rsidRDefault="00EC6AEF" w:rsidP="00EC6AEF">
            <w:pPr>
              <w:rPr>
                <w:rFonts w:ascii="Calibri" w:hAnsi="Calibri"/>
                <w:sz w:val="20"/>
                <w:szCs w:val="20"/>
              </w:rPr>
            </w:pPr>
            <w:r w:rsidRPr="00D16640">
              <w:rPr>
                <w:rFonts w:ascii="Calibri" w:hAnsi="Calibri"/>
                <w:sz w:val="20"/>
                <w:szCs w:val="20"/>
              </w:rPr>
              <w:t>Was an acceptable case definition used in the study?</w:t>
            </w:r>
          </w:p>
        </w:tc>
        <w:tc>
          <w:tcPr>
            <w:tcW w:w="0" w:type="auto"/>
            <w:vAlign w:val="center"/>
          </w:tcPr>
          <w:p w14:paraId="6E29C03B" w14:textId="77777777" w:rsidR="00EC6AEF" w:rsidRPr="00D16640" w:rsidRDefault="00EC6AEF" w:rsidP="00EC6AEF">
            <w:pPr>
              <w:rPr>
                <w:rFonts w:ascii="Calibri" w:hAnsi="Calibri"/>
                <w:sz w:val="20"/>
                <w:szCs w:val="20"/>
              </w:rPr>
            </w:pPr>
            <w:r w:rsidRPr="00182B01">
              <w:rPr>
                <w:rFonts w:ascii="Calibri" w:hAnsi="Calibri"/>
                <w:sz w:val="20"/>
                <w:szCs w:val="20"/>
              </w:rPr>
              <w:t>33</w:t>
            </w:r>
          </w:p>
        </w:tc>
        <w:tc>
          <w:tcPr>
            <w:tcW w:w="0" w:type="auto"/>
            <w:vAlign w:val="center"/>
          </w:tcPr>
          <w:p w14:paraId="52C08188" w14:textId="77777777" w:rsidR="00EC6AEF" w:rsidRPr="00D16640" w:rsidRDefault="00EC6AEF" w:rsidP="00EC6AEF">
            <w:pPr>
              <w:rPr>
                <w:rFonts w:ascii="Calibri" w:hAnsi="Calibri"/>
                <w:sz w:val="20"/>
                <w:szCs w:val="20"/>
              </w:rPr>
            </w:pPr>
            <w:r w:rsidRPr="00182B01">
              <w:rPr>
                <w:rFonts w:ascii="Calibri" w:hAnsi="Calibri"/>
                <w:sz w:val="20"/>
                <w:szCs w:val="20"/>
              </w:rPr>
              <w:t>100.0%</w:t>
            </w:r>
          </w:p>
        </w:tc>
        <w:tc>
          <w:tcPr>
            <w:tcW w:w="0" w:type="auto"/>
          </w:tcPr>
          <w:p w14:paraId="3E36200A" w14:textId="77777777" w:rsidR="00EC6AEF" w:rsidRPr="00D16640" w:rsidRDefault="00EC6AEF" w:rsidP="00EC6AEF">
            <w:pPr>
              <w:rPr>
                <w:rFonts w:ascii="Calibri" w:hAnsi="Calibri"/>
                <w:sz w:val="20"/>
                <w:szCs w:val="20"/>
              </w:rPr>
            </w:pPr>
            <w:r>
              <w:rPr>
                <w:rFonts w:ascii="Calibri" w:hAnsi="Calibri" w:hint="eastAsia"/>
                <w:sz w:val="20"/>
                <w:szCs w:val="20"/>
              </w:rPr>
              <w:t xml:space="preserve">A </w:t>
            </w:r>
            <w:r>
              <w:rPr>
                <w:rFonts w:ascii="Calibri" w:hAnsi="Calibri"/>
                <w:sz w:val="20"/>
                <w:szCs w:val="20"/>
              </w:rPr>
              <w:t>definition</w:t>
            </w:r>
            <w:r>
              <w:rPr>
                <w:rFonts w:ascii="Calibri" w:hAnsi="Calibri" w:hint="eastAsia"/>
                <w:sz w:val="20"/>
                <w:szCs w:val="20"/>
              </w:rPr>
              <w:t xml:space="preserve"> of the </w:t>
            </w:r>
            <w:r>
              <w:rPr>
                <w:rFonts w:ascii="Calibri" w:hAnsi="Calibri"/>
                <w:sz w:val="20"/>
                <w:szCs w:val="20"/>
              </w:rPr>
              <w:t>outcome</w:t>
            </w:r>
            <w:r>
              <w:rPr>
                <w:rFonts w:ascii="Calibri" w:hAnsi="Calibri" w:hint="eastAsia"/>
                <w:sz w:val="20"/>
                <w:szCs w:val="20"/>
              </w:rPr>
              <w:t xml:space="preserve"> was defined in all studies.</w:t>
            </w:r>
          </w:p>
        </w:tc>
      </w:tr>
      <w:tr w:rsidR="00EC6AEF" w:rsidRPr="00D16640" w14:paraId="5ABF9B51" w14:textId="77777777" w:rsidTr="00AE322F">
        <w:tc>
          <w:tcPr>
            <w:tcW w:w="0" w:type="auto"/>
          </w:tcPr>
          <w:p w14:paraId="3CD01DF8" w14:textId="77777777" w:rsidR="00EC6AEF" w:rsidRPr="00D16640" w:rsidRDefault="00EC6AEF" w:rsidP="00EC6AEF">
            <w:pPr>
              <w:rPr>
                <w:rFonts w:ascii="Calibri" w:hAnsi="Calibri"/>
                <w:sz w:val="20"/>
                <w:szCs w:val="20"/>
              </w:rPr>
            </w:pPr>
            <w:r w:rsidRPr="00D16640">
              <w:rPr>
                <w:rFonts w:ascii="Calibri" w:hAnsi="Calibri"/>
                <w:sz w:val="20"/>
                <w:szCs w:val="20"/>
              </w:rPr>
              <w:t>7</w:t>
            </w:r>
          </w:p>
        </w:tc>
        <w:tc>
          <w:tcPr>
            <w:tcW w:w="0" w:type="auto"/>
          </w:tcPr>
          <w:p w14:paraId="171A81EC" w14:textId="77777777" w:rsidR="00EC6AEF" w:rsidRPr="00D16640" w:rsidRDefault="00EC6AEF" w:rsidP="00EC6AEF">
            <w:pPr>
              <w:rPr>
                <w:rFonts w:ascii="Calibri" w:hAnsi="Calibri"/>
                <w:sz w:val="20"/>
                <w:szCs w:val="20"/>
              </w:rPr>
            </w:pPr>
            <w:r w:rsidRPr="00D16640">
              <w:rPr>
                <w:rFonts w:ascii="Calibri" w:hAnsi="Calibri"/>
                <w:sz w:val="20"/>
                <w:szCs w:val="20"/>
              </w:rPr>
              <w:t xml:space="preserve">Was the study instrument that measured the parameter of interest shown to have validity and reliability? </w:t>
            </w:r>
          </w:p>
        </w:tc>
        <w:tc>
          <w:tcPr>
            <w:tcW w:w="0" w:type="auto"/>
            <w:vAlign w:val="center"/>
          </w:tcPr>
          <w:p w14:paraId="6EF6F181" w14:textId="77777777" w:rsidR="00EC6AEF" w:rsidRPr="00D16640" w:rsidRDefault="00EC6AEF" w:rsidP="00EC6AEF">
            <w:pPr>
              <w:rPr>
                <w:rFonts w:ascii="Calibri" w:hAnsi="Calibri"/>
                <w:sz w:val="20"/>
                <w:szCs w:val="20"/>
              </w:rPr>
            </w:pPr>
            <w:r w:rsidRPr="00182B01">
              <w:rPr>
                <w:rFonts w:ascii="Calibri" w:hAnsi="Calibri"/>
                <w:sz w:val="20"/>
                <w:szCs w:val="20"/>
              </w:rPr>
              <w:t>32</w:t>
            </w:r>
          </w:p>
        </w:tc>
        <w:tc>
          <w:tcPr>
            <w:tcW w:w="0" w:type="auto"/>
            <w:vAlign w:val="center"/>
          </w:tcPr>
          <w:p w14:paraId="129BD99A" w14:textId="77777777" w:rsidR="00EC6AEF" w:rsidRPr="00D16640" w:rsidRDefault="00EC6AEF" w:rsidP="00EC6AEF">
            <w:pPr>
              <w:rPr>
                <w:rFonts w:ascii="Calibri" w:hAnsi="Calibri"/>
                <w:sz w:val="20"/>
                <w:szCs w:val="20"/>
              </w:rPr>
            </w:pPr>
            <w:r w:rsidRPr="00182B01">
              <w:rPr>
                <w:rFonts w:ascii="Calibri" w:hAnsi="Calibri"/>
                <w:sz w:val="20"/>
                <w:szCs w:val="20"/>
              </w:rPr>
              <w:t>97.0%</w:t>
            </w:r>
          </w:p>
        </w:tc>
        <w:tc>
          <w:tcPr>
            <w:tcW w:w="0" w:type="auto"/>
          </w:tcPr>
          <w:p w14:paraId="7FF7A69C" w14:textId="77777777" w:rsidR="00EC6AEF" w:rsidRPr="00D16640" w:rsidRDefault="00EC6AEF" w:rsidP="00EC6AEF">
            <w:pPr>
              <w:rPr>
                <w:rFonts w:ascii="Calibri" w:hAnsi="Calibri"/>
                <w:sz w:val="20"/>
                <w:szCs w:val="20"/>
              </w:rPr>
            </w:pPr>
            <w:r w:rsidRPr="00D16640">
              <w:rPr>
                <w:rFonts w:ascii="Calibri" w:hAnsi="Calibri"/>
                <w:sz w:val="20"/>
                <w:szCs w:val="20"/>
              </w:rPr>
              <w:t xml:space="preserve">The only study losing the point used self-reported data on BMI. </w:t>
            </w:r>
          </w:p>
        </w:tc>
      </w:tr>
      <w:tr w:rsidR="00EC6AEF" w:rsidRPr="00D16640" w14:paraId="35A5B99F" w14:textId="77777777" w:rsidTr="00AE322F">
        <w:tc>
          <w:tcPr>
            <w:tcW w:w="0" w:type="auto"/>
          </w:tcPr>
          <w:p w14:paraId="03B65AF4" w14:textId="77777777" w:rsidR="00EC6AEF" w:rsidRPr="00D16640" w:rsidRDefault="00EC6AEF" w:rsidP="00EC6AEF">
            <w:pPr>
              <w:rPr>
                <w:rFonts w:ascii="Calibri" w:hAnsi="Calibri"/>
                <w:sz w:val="20"/>
                <w:szCs w:val="20"/>
              </w:rPr>
            </w:pPr>
            <w:r w:rsidRPr="00D16640">
              <w:rPr>
                <w:rFonts w:ascii="Calibri" w:hAnsi="Calibri"/>
                <w:sz w:val="20"/>
                <w:szCs w:val="20"/>
              </w:rPr>
              <w:t>8</w:t>
            </w:r>
          </w:p>
        </w:tc>
        <w:tc>
          <w:tcPr>
            <w:tcW w:w="0" w:type="auto"/>
          </w:tcPr>
          <w:p w14:paraId="05CC0508" w14:textId="77777777" w:rsidR="00EC6AEF" w:rsidRPr="00D16640" w:rsidRDefault="00EC6AEF" w:rsidP="00EC6AEF">
            <w:pPr>
              <w:rPr>
                <w:rFonts w:ascii="Calibri" w:hAnsi="Calibri"/>
                <w:sz w:val="20"/>
                <w:szCs w:val="20"/>
              </w:rPr>
            </w:pPr>
            <w:r w:rsidRPr="00D16640">
              <w:rPr>
                <w:rFonts w:ascii="Calibri" w:hAnsi="Calibri"/>
                <w:sz w:val="20"/>
                <w:szCs w:val="20"/>
              </w:rPr>
              <w:t>Was the same mode of data collection used for all subjects?</w:t>
            </w:r>
          </w:p>
        </w:tc>
        <w:tc>
          <w:tcPr>
            <w:tcW w:w="0" w:type="auto"/>
            <w:vAlign w:val="center"/>
          </w:tcPr>
          <w:p w14:paraId="7EE9B4D5" w14:textId="77777777" w:rsidR="00EC6AEF" w:rsidRPr="00D16640" w:rsidRDefault="00EC6AEF" w:rsidP="00EC6AEF">
            <w:pPr>
              <w:rPr>
                <w:rFonts w:ascii="Calibri" w:hAnsi="Calibri"/>
                <w:sz w:val="20"/>
                <w:szCs w:val="20"/>
              </w:rPr>
            </w:pPr>
            <w:r w:rsidRPr="00182B01">
              <w:rPr>
                <w:rFonts w:ascii="Calibri" w:hAnsi="Calibri"/>
                <w:sz w:val="20"/>
                <w:szCs w:val="20"/>
              </w:rPr>
              <w:t>33</w:t>
            </w:r>
          </w:p>
        </w:tc>
        <w:tc>
          <w:tcPr>
            <w:tcW w:w="0" w:type="auto"/>
            <w:vAlign w:val="center"/>
          </w:tcPr>
          <w:p w14:paraId="66CB40AB" w14:textId="77777777" w:rsidR="00EC6AEF" w:rsidRPr="00D16640" w:rsidRDefault="00EC6AEF" w:rsidP="00EC6AEF">
            <w:pPr>
              <w:rPr>
                <w:rFonts w:ascii="Calibri" w:hAnsi="Calibri"/>
                <w:sz w:val="20"/>
                <w:szCs w:val="20"/>
              </w:rPr>
            </w:pPr>
            <w:r w:rsidRPr="00182B01">
              <w:rPr>
                <w:rFonts w:ascii="Calibri" w:hAnsi="Calibri"/>
                <w:sz w:val="20"/>
                <w:szCs w:val="20"/>
              </w:rPr>
              <w:t>100.0%</w:t>
            </w:r>
          </w:p>
        </w:tc>
        <w:tc>
          <w:tcPr>
            <w:tcW w:w="0" w:type="auto"/>
          </w:tcPr>
          <w:p w14:paraId="1E7CD28A" w14:textId="77777777" w:rsidR="00EC6AEF" w:rsidRPr="00D16640" w:rsidRDefault="00EC6AEF" w:rsidP="00EC6AEF">
            <w:pPr>
              <w:rPr>
                <w:rFonts w:ascii="Calibri" w:hAnsi="Calibri"/>
                <w:sz w:val="20"/>
                <w:szCs w:val="20"/>
              </w:rPr>
            </w:pPr>
            <w:r>
              <w:rPr>
                <w:rFonts w:ascii="Calibri" w:hAnsi="Calibri" w:hint="eastAsia"/>
                <w:sz w:val="20"/>
                <w:szCs w:val="20"/>
              </w:rPr>
              <w:t xml:space="preserve">32 studies used </w:t>
            </w:r>
            <w:r>
              <w:rPr>
                <w:rFonts w:ascii="Calibri" w:hAnsi="Calibri"/>
                <w:sz w:val="20"/>
                <w:szCs w:val="20"/>
              </w:rPr>
              <w:t>measurement</w:t>
            </w:r>
            <w:r>
              <w:rPr>
                <w:rFonts w:ascii="Calibri" w:hAnsi="Calibri" w:hint="eastAsia"/>
                <w:sz w:val="20"/>
                <w:szCs w:val="20"/>
              </w:rPr>
              <w:t xml:space="preserve">, and 1 study used self-report. </w:t>
            </w:r>
          </w:p>
        </w:tc>
      </w:tr>
      <w:tr w:rsidR="00EC6AEF" w:rsidRPr="00D16640" w14:paraId="64A9A71A" w14:textId="77777777" w:rsidTr="00AE322F">
        <w:tc>
          <w:tcPr>
            <w:tcW w:w="0" w:type="auto"/>
          </w:tcPr>
          <w:p w14:paraId="31CED929" w14:textId="77777777" w:rsidR="00EC6AEF" w:rsidRPr="00D16640" w:rsidRDefault="00EC6AEF" w:rsidP="00EC6AEF">
            <w:pPr>
              <w:rPr>
                <w:rFonts w:ascii="Calibri" w:hAnsi="Calibri"/>
                <w:sz w:val="20"/>
                <w:szCs w:val="20"/>
              </w:rPr>
            </w:pPr>
            <w:r w:rsidRPr="00D16640">
              <w:rPr>
                <w:rFonts w:ascii="Calibri" w:hAnsi="Calibri"/>
                <w:sz w:val="20"/>
                <w:szCs w:val="20"/>
              </w:rPr>
              <w:t>9</w:t>
            </w:r>
          </w:p>
        </w:tc>
        <w:tc>
          <w:tcPr>
            <w:tcW w:w="0" w:type="auto"/>
          </w:tcPr>
          <w:p w14:paraId="676DCFE9" w14:textId="77777777" w:rsidR="00EC6AEF" w:rsidRPr="00D16640" w:rsidRDefault="00EC6AEF" w:rsidP="00EC6AEF">
            <w:pPr>
              <w:rPr>
                <w:rFonts w:ascii="Calibri" w:hAnsi="Calibri"/>
                <w:sz w:val="20"/>
                <w:szCs w:val="20"/>
              </w:rPr>
            </w:pPr>
            <w:r w:rsidRPr="00D16640">
              <w:rPr>
                <w:rFonts w:ascii="Calibri" w:hAnsi="Calibri"/>
                <w:sz w:val="20"/>
                <w:szCs w:val="20"/>
              </w:rPr>
              <w:t xml:space="preserve">Was the length of the shortest prevalence period for the parameter of interest appropriate? </w:t>
            </w:r>
          </w:p>
        </w:tc>
        <w:tc>
          <w:tcPr>
            <w:tcW w:w="0" w:type="auto"/>
            <w:vAlign w:val="center"/>
          </w:tcPr>
          <w:p w14:paraId="7ACE0B90" w14:textId="77777777" w:rsidR="00EC6AEF" w:rsidRPr="00D16640" w:rsidRDefault="00EC6AEF" w:rsidP="00EC6AEF">
            <w:pPr>
              <w:rPr>
                <w:rFonts w:ascii="Calibri" w:hAnsi="Calibri"/>
                <w:sz w:val="20"/>
                <w:szCs w:val="20"/>
              </w:rPr>
            </w:pPr>
            <w:r w:rsidRPr="00182B01">
              <w:rPr>
                <w:rFonts w:ascii="Calibri" w:hAnsi="Calibri"/>
                <w:sz w:val="20"/>
                <w:szCs w:val="20"/>
              </w:rPr>
              <w:t>33</w:t>
            </w:r>
          </w:p>
        </w:tc>
        <w:tc>
          <w:tcPr>
            <w:tcW w:w="0" w:type="auto"/>
            <w:vAlign w:val="center"/>
          </w:tcPr>
          <w:p w14:paraId="4D9E7F0F" w14:textId="77777777" w:rsidR="00EC6AEF" w:rsidRPr="00D16640" w:rsidRDefault="00EC6AEF" w:rsidP="00EC6AEF">
            <w:pPr>
              <w:rPr>
                <w:rFonts w:ascii="Calibri" w:hAnsi="Calibri"/>
                <w:sz w:val="20"/>
                <w:szCs w:val="20"/>
              </w:rPr>
            </w:pPr>
            <w:r w:rsidRPr="00182B01">
              <w:rPr>
                <w:rFonts w:ascii="Calibri" w:hAnsi="Calibri"/>
                <w:sz w:val="20"/>
                <w:szCs w:val="20"/>
              </w:rPr>
              <w:t>100.0%</w:t>
            </w:r>
          </w:p>
        </w:tc>
        <w:tc>
          <w:tcPr>
            <w:tcW w:w="0" w:type="auto"/>
          </w:tcPr>
          <w:p w14:paraId="547D4414" w14:textId="77777777" w:rsidR="00EC6AEF" w:rsidRPr="00D16640" w:rsidRDefault="00EC6AEF" w:rsidP="00EC6AEF">
            <w:pPr>
              <w:rPr>
                <w:rFonts w:ascii="Calibri" w:hAnsi="Calibri"/>
                <w:sz w:val="20"/>
                <w:szCs w:val="20"/>
              </w:rPr>
            </w:pPr>
            <w:r w:rsidRPr="00D16640">
              <w:rPr>
                <w:rFonts w:ascii="Calibri" w:hAnsi="Calibri"/>
                <w:sz w:val="20"/>
                <w:szCs w:val="20"/>
              </w:rPr>
              <w:t xml:space="preserve">Not applicable for the included studies. Every study was appointed 1 point. </w:t>
            </w:r>
          </w:p>
        </w:tc>
      </w:tr>
      <w:tr w:rsidR="00EC6AEF" w:rsidRPr="00D16640" w14:paraId="6B2F357A" w14:textId="77777777" w:rsidTr="00AE322F">
        <w:tc>
          <w:tcPr>
            <w:tcW w:w="0" w:type="auto"/>
          </w:tcPr>
          <w:p w14:paraId="5B7C899A" w14:textId="77777777" w:rsidR="00EC6AEF" w:rsidRPr="00D16640" w:rsidRDefault="00EC6AEF" w:rsidP="00EC6AEF">
            <w:pPr>
              <w:rPr>
                <w:rFonts w:ascii="Calibri" w:hAnsi="Calibri"/>
                <w:sz w:val="20"/>
                <w:szCs w:val="20"/>
              </w:rPr>
            </w:pPr>
            <w:r w:rsidRPr="00D16640">
              <w:rPr>
                <w:rFonts w:ascii="Calibri" w:hAnsi="Calibri"/>
                <w:sz w:val="20"/>
                <w:szCs w:val="20"/>
              </w:rPr>
              <w:t>10</w:t>
            </w:r>
          </w:p>
        </w:tc>
        <w:tc>
          <w:tcPr>
            <w:tcW w:w="0" w:type="auto"/>
          </w:tcPr>
          <w:p w14:paraId="53B7CE22" w14:textId="77777777" w:rsidR="00EC6AEF" w:rsidRPr="00D16640" w:rsidRDefault="00EC6AEF" w:rsidP="00EC6AEF">
            <w:pPr>
              <w:rPr>
                <w:rFonts w:ascii="Calibri" w:hAnsi="Calibri"/>
                <w:sz w:val="20"/>
                <w:szCs w:val="20"/>
              </w:rPr>
            </w:pPr>
            <w:r w:rsidRPr="00D16640">
              <w:rPr>
                <w:rFonts w:ascii="Calibri" w:hAnsi="Calibri"/>
                <w:sz w:val="20"/>
                <w:szCs w:val="20"/>
              </w:rPr>
              <w:t xml:space="preserve">Were the numerator(s) and denominator(s) for the parameter of interest appropriate? </w:t>
            </w:r>
          </w:p>
        </w:tc>
        <w:tc>
          <w:tcPr>
            <w:tcW w:w="0" w:type="auto"/>
            <w:vAlign w:val="center"/>
          </w:tcPr>
          <w:p w14:paraId="4D6BCB7D" w14:textId="77777777" w:rsidR="00EC6AEF" w:rsidRPr="00D16640" w:rsidRDefault="00EC6AEF" w:rsidP="00EC6AEF">
            <w:pPr>
              <w:rPr>
                <w:rFonts w:ascii="Calibri" w:hAnsi="Calibri"/>
                <w:sz w:val="20"/>
                <w:szCs w:val="20"/>
              </w:rPr>
            </w:pPr>
            <w:r w:rsidRPr="00182B01">
              <w:rPr>
                <w:rFonts w:ascii="Calibri" w:hAnsi="Calibri"/>
                <w:sz w:val="20"/>
                <w:szCs w:val="20"/>
              </w:rPr>
              <w:t>33</w:t>
            </w:r>
          </w:p>
        </w:tc>
        <w:tc>
          <w:tcPr>
            <w:tcW w:w="0" w:type="auto"/>
            <w:vAlign w:val="center"/>
          </w:tcPr>
          <w:p w14:paraId="3B6A4BC8" w14:textId="77777777" w:rsidR="00EC6AEF" w:rsidRPr="00D16640" w:rsidRDefault="00EC6AEF" w:rsidP="00EC6AEF">
            <w:pPr>
              <w:rPr>
                <w:rFonts w:ascii="Calibri" w:hAnsi="Calibri"/>
                <w:sz w:val="20"/>
                <w:szCs w:val="20"/>
              </w:rPr>
            </w:pPr>
            <w:r w:rsidRPr="00182B01">
              <w:rPr>
                <w:rFonts w:ascii="Calibri" w:hAnsi="Calibri"/>
                <w:sz w:val="20"/>
                <w:szCs w:val="20"/>
              </w:rPr>
              <w:t>100.0%</w:t>
            </w:r>
          </w:p>
        </w:tc>
        <w:tc>
          <w:tcPr>
            <w:tcW w:w="0" w:type="auto"/>
          </w:tcPr>
          <w:p w14:paraId="77EA1B88" w14:textId="77777777" w:rsidR="00EC6AEF" w:rsidRPr="00D16640" w:rsidRDefault="00EC6AEF" w:rsidP="00EC6AEF">
            <w:pPr>
              <w:rPr>
                <w:rFonts w:ascii="Calibri" w:hAnsi="Calibri"/>
                <w:sz w:val="20"/>
                <w:szCs w:val="20"/>
              </w:rPr>
            </w:pPr>
            <w:r w:rsidRPr="00D16640">
              <w:rPr>
                <w:rFonts w:ascii="Calibri" w:hAnsi="Calibri"/>
                <w:sz w:val="20"/>
                <w:szCs w:val="20"/>
              </w:rPr>
              <w:t xml:space="preserve">Correctly used in all the studies. </w:t>
            </w:r>
          </w:p>
        </w:tc>
      </w:tr>
    </w:tbl>
    <w:p w14:paraId="0D2379F1" w14:textId="77777777" w:rsidR="00EC6AEF" w:rsidRDefault="00EC6AEF" w:rsidP="00EC6AEF">
      <w:pPr>
        <w:spacing w:after="0" w:line="240" w:lineRule="auto"/>
      </w:pPr>
    </w:p>
    <w:p w14:paraId="2509C654" w14:textId="77777777" w:rsidR="00EC6AEF" w:rsidRDefault="00EC6AEF" w:rsidP="00EC6AEF">
      <w:pPr>
        <w:spacing w:after="0" w:line="240" w:lineRule="auto"/>
      </w:pPr>
    </w:p>
    <w:p w14:paraId="31CB4801" w14:textId="77777777" w:rsidR="00CF0142" w:rsidRDefault="00CF0142" w:rsidP="00EC6AEF">
      <w:pPr>
        <w:spacing w:after="0" w:line="240" w:lineRule="auto"/>
        <w:rPr>
          <w:b/>
        </w:rPr>
      </w:pPr>
      <w:r>
        <w:rPr>
          <w:b/>
        </w:rPr>
        <w:t xml:space="preserve">Supplementary Table 2 </w:t>
      </w:r>
      <w:proofErr w:type="gramStart"/>
      <w:r>
        <w:rPr>
          <w:b/>
        </w:rPr>
        <w:t>Cross-tab</w:t>
      </w:r>
      <w:proofErr w:type="gramEnd"/>
      <w:r>
        <w:rPr>
          <w:b/>
        </w:rPr>
        <w:t xml:space="preserve"> information for included studies according to subgroups</w:t>
      </w:r>
    </w:p>
    <w:p w14:paraId="5E9621AF" w14:textId="77777777" w:rsidR="00CF0142" w:rsidRDefault="00CF0142" w:rsidP="00CF0142">
      <w:pPr>
        <w:rPr>
          <w:rFonts w:ascii="Helvetica" w:eastAsia="SimSun" w:hAnsi="Helvetica" w:cs="Times New Roman"/>
          <w:color w:val="FFFFFF"/>
          <w:sz w:val="18"/>
          <w:szCs w:val="18"/>
        </w:rPr>
      </w:pPr>
      <w:r>
        <w:rPr>
          <w:rFonts w:ascii="Helvetica" w:eastAsia="SimSun" w:hAnsi="Helvetica" w:cs="Times New Roman"/>
          <w:color w:val="FFFFFF"/>
          <w:sz w:val="18"/>
          <w:szCs w:val="18"/>
        </w:rPr>
        <w:t>tab:</w:t>
      </w:r>
    </w:p>
    <w:tbl>
      <w:tblPr>
        <w:tblW w:w="8349" w:type="dxa"/>
        <w:tblLayout w:type="fixed"/>
        <w:tblCellMar>
          <w:left w:w="0" w:type="dxa"/>
          <w:right w:w="0" w:type="dxa"/>
        </w:tblCellMar>
        <w:tblLook w:val="04A0" w:firstRow="1" w:lastRow="0" w:firstColumn="1" w:lastColumn="0" w:noHBand="0" w:noVBand="1"/>
      </w:tblPr>
      <w:tblGrid>
        <w:gridCol w:w="746"/>
        <w:gridCol w:w="746"/>
        <w:gridCol w:w="2067"/>
        <w:gridCol w:w="37"/>
        <w:gridCol w:w="1553"/>
        <w:gridCol w:w="19"/>
        <w:gridCol w:w="1346"/>
        <w:gridCol w:w="19"/>
        <w:gridCol w:w="1797"/>
        <w:gridCol w:w="19"/>
      </w:tblGrid>
      <w:tr w:rsidR="00CF0142" w14:paraId="7E468536" w14:textId="77777777" w:rsidTr="00D85732">
        <w:trPr>
          <w:gridAfter w:val="1"/>
          <w:wAfter w:w="19" w:type="dxa"/>
          <w:trHeight w:val="285"/>
        </w:trPr>
        <w:tc>
          <w:tcPr>
            <w:tcW w:w="8330" w:type="dxa"/>
            <w:gridSpan w:val="9"/>
            <w:tcBorders>
              <w:top w:val="single" w:sz="4" w:space="0" w:color="auto"/>
              <w:left w:val="single" w:sz="4" w:space="0" w:color="auto"/>
              <w:bottom w:val="single" w:sz="4" w:space="0" w:color="auto"/>
              <w:right w:val="single" w:sz="4" w:space="0" w:color="auto"/>
            </w:tcBorders>
            <w:shd w:val="clear" w:color="auto" w:fill="E6E6E6"/>
            <w:tcMar>
              <w:top w:w="15" w:type="dxa"/>
              <w:left w:w="15" w:type="dxa"/>
              <w:bottom w:w="0" w:type="dxa"/>
              <w:right w:w="15" w:type="dxa"/>
            </w:tcMar>
            <w:vAlign w:val="bottom"/>
          </w:tcPr>
          <w:p w14:paraId="40970FD0"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Age&lt;5</w:t>
            </w:r>
          </w:p>
        </w:tc>
      </w:tr>
      <w:tr w:rsidR="00CF0142" w14:paraId="58506F6A"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27162F9"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Area</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02EEDC21"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Sex</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07F803C"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Year of publication</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566731A6"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Number of publications</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4FE89275"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Year of data</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8477496"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xml:space="preserve">Total number of </w:t>
            </w:r>
            <w:proofErr w:type="gramStart"/>
            <w:r>
              <w:rPr>
                <w:rFonts w:ascii="Calibri" w:eastAsia="SimSun" w:hAnsi="Calibri" w:cs="Times New Roman"/>
                <w:color w:val="000000"/>
              </w:rPr>
              <w:t>population</w:t>
            </w:r>
            <w:proofErr w:type="gramEnd"/>
          </w:p>
        </w:tc>
      </w:tr>
      <w:tr w:rsidR="00CF0142" w14:paraId="50E2E5AE"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0CF15F1"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Asia</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43898FA0"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F57B522" w14:textId="77777777" w:rsidR="00CF0142" w:rsidRDefault="00CF0142" w:rsidP="00D85732">
            <w:pPr>
              <w:rPr>
                <w:rFonts w:ascii="Calibri" w:eastAsia="SimSun" w:hAnsi="Calibri" w:cs="Times New Roman"/>
                <w:color w:val="FF0000"/>
              </w:rPr>
            </w:pPr>
            <w:r>
              <w:rPr>
                <w:rFonts w:ascii="Calibri" w:eastAsia="SimSun" w:hAnsi="Calibri" w:cs="Times New Roman" w:hint="eastAsia"/>
                <w:color w:val="000000" w:themeColor="text1"/>
              </w:rPr>
              <w:t>2016</w:t>
            </w:r>
            <w:r>
              <w:rPr>
                <w:rFonts w:ascii="Calibri" w:eastAsia="SimSun" w:hAnsi="Calibri" w:cs="Times New Roman"/>
                <w:color w:val="000000" w:themeColor="text1"/>
              </w:rPr>
              <w:t>, 2018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32CCA22F" w14:textId="77777777" w:rsidR="00CF0142" w:rsidRPr="000D6270" w:rsidRDefault="00CF0142" w:rsidP="00D85732">
            <w:pPr>
              <w:rPr>
                <w:rFonts w:ascii="Calibri" w:eastAsia="SimSun" w:hAnsi="Calibri" w:cs="Times New Roman"/>
                <w:color w:val="000000" w:themeColor="text1"/>
              </w:rPr>
            </w:pPr>
            <w:r>
              <w:rPr>
                <w:rFonts w:ascii="Calibri" w:eastAsia="SimSun" w:hAnsi="Calibri" w:cs="Times New Roman" w:hint="eastAsia"/>
                <w:color w:val="000000" w:themeColor="text1"/>
              </w:rPr>
              <w:t>2</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6F76ADD4" w14:textId="77777777" w:rsidR="00CF0142" w:rsidRDefault="00CF0142" w:rsidP="00D85732">
            <w:pPr>
              <w:rPr>
                <w:rFonts w:ascii="Calibri" w:eastAsia="SimSun" w:hAnsi="Calibri" w:cs="Times New Roman"/>
                <w:color w:val="FF0000"/>
              </w:rPr>
            </w:pPr>
            <w:r>
              <w:rPr>
                <w:rFonts w:ascii="Calibri" w:eastAsia="SimSun" w:hAnsi="Calibri" w:cs="Times New Roman" w:hint="eastAsia"/>
                <w:color w:val="000000" w:themeColor="text1"/>
              </w:rPr>
              <w:t>2014</w:t>
            </w:r>
            <w:r>
              <w:rPr>
                <w:rFonts w:ascii="Calibri" w:eastAsia="SimSun" w:hAnsi="Calibri" w:cs="Times New Roman"/>
                <w:color w:val="000000" w:themeColor="text1"/>
              </w:rPr>
              <w:t>, 2015</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36F7862B" w14:textId="77777777" w:rsidR="00CF0142" w:rsidRDefault="00CF0142" w:rsidP="00D85732">
            <w:pPr>
              <w:rPr>
                <w:rFonts w:ascii="Calibri" w:eastAsia="SimSun" w:hAnsi="Calibri" w:cs="Times New Roman"/>
                <w:color w:val="FF0000"/>
              </w:rPr>
            </w:pPr>
            <w:r>
              <w:rPr>
                <w:rFonts w:ascii="Calibri" w:eastAsia="SimSun" w:hAnsi="Calibri" w:cs="Times New Roman" w:hint="eastAsia"/>
                <w:color w:val="000000" w:themeColor="text1"/>
              </w:rPr>
              <w:t>9,224</w:t>
            </w:r>
          </w:p>
        </w:tc>
      </w:tr>
      <w:tr w:rsidR="00CF0142" w14:paraId="2EA62447"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B9217AF"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1EA35564"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Female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7B0F955F"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themeColor="text1"/>
              </w:rPr>
              <w:t>2016</w:t>
            </w:r>
            <w:r>
              <w:rPr>
                <w:rFonts w:ascii="Calibri" w:eastAsia="SimSun" w:hAnsi="Calibri" w:cs="Times New Roman"/>
                <w:color w:val="000000" w:themeColor="text1"/>
              </w:rPr>
              <w:t>, 2018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1FE2589F"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themeColor="text1"/>
              </w:rPr>
              <w:t>2</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496E9005"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themeColor="text1"/>
              </w:rPr>
              <w:t>2014</w:t>
            </w:r>
            <w:r>
              <w:rPr>
                <w:rFonts w:ascii="Calibri" w:eastAsia="SimSun" w:hAnsi="Calibri" w:cs="Times New Roman"/>
                <w:color w:val="000000" w:themeColor="text1"/>
              </w:rPr>
              <w:t>, 2015</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3197FBDD"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9,010</w:t>
            </w:r>
          </w:p>
        </w:tc>
      </w:tr>
      <w:tr w:rsidR="00CF0142" w14:paraId="7F5097F3"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6CA8D36"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13982D28"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Mix/Both</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0091785"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themeColor="text1"/>
              </w:rPr>
              <w:t>2016</w:t>
            </w:r>
            <w:r>
              <w:rPr>
                <w:rFonts w:ascii="Calibri" w:eastAsia="SimSun" w:hAnsi="Calibri" w:cs="Times New Roman"/>
                <w:color w:val="000000" w:themeColor="text1"/>
              </w:rPr>
              <w:t>, 2018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07D827CE"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themeColor="text1"/>
              </w:rPr>
              <w:t>2</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A7BBF30"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themeColor="text1"/>
              </w:rPr>
              <w:t>2014</w:t>
            </w:r>
            <w:r>
              <w:rPr>
                <w:rFonts w:ascii="Calibri" w:eastAsia="SimSun" w:hAnsi="Calibri" w:cs="Times New Roman"/>
                <w:color w:val="000000" w:themeColor="text1"/>
              </w:rPr>
              <w:t>, 2015</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48625480"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18,234</w:t>
            </w:r>
          </w:p>
        </w:tc>
      </w:tr>
      <w:tr w:rsidR="00CF0142" w14:paraId="6A84E96B"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51E2433B"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Pacific</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703A154F"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7F506098"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4996B2CF"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0</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35569853"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61E7BEC"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w:t>
            </w:r>
          </w:p>
        </w:tc>
      </w:tr>
      <w:tr w:rsidR="00CF0142" w14:paraId="12D21F8C"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7FBA22A"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5B88D523"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Female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B657C2E"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6F59A9BB"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0</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DD14D8A"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41988278"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w:t>
            </w:r>
          </w:p>
        </w:tc>
      </w:tr>
      <w:tr w:rsidR="00CF0142" w14:paraId="4757B57A"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210EB31"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7E1B8C84"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Mix/Both</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1EA9C5E"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207D71BB"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0</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780D387"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743F9C2F"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w:t>
            </w:r>
          </w:p>
        </w:tc>
      </w:tr>
      <w:tr w:rsidR="00CF0142" w14:paraId="6664D11D" w14:textId="77777777" w:rsidTr="00D85732">
        <w:trPr>
          <w:gridAfter w:val="1"/>
          <w:wAfter w:w="19" w:type="dxa"/>
          <w:trHeight w:val="285"/>
        </w:trPr>
        <w:tc>
          <w:tcPr>
            <w:tcW w:w="8330" w:type="dxa"/>
            <w:gridSpan w:val="9"/>
            <w:tcBorders>
              <w:top w:val="single" w:sz="4" w:space="0" w:color="auto"/>
              <w:left w:val="single" w:sz="4" w:space="0" w:color="auto"/>
              <w:bottom w:val="single" w:sz="4" w:space="0" w:color="auto"/>
              <w:right w:val="single" w:sz="4" w:space="0" w:color="auto"/>
            </w:tcBorders>
            <w:shd w:val="clear" w:color="auto" w:fill="E6E6E6"/>
            <w:tcMar>
              <w:top w:w="15" w:type="dxa"/>
              <w:left w:w="15" w:type="dxa"/>
              <w:bottom w:w="0" w:type="dxa"/>
              <w:right w:w="15" w:type="dxa"/>
            </w:tcMar>
            <w:vAlign w:val="bottom"/>
          </w:tcPr>
          <w:p w14:paraId="0AD9F3A6"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Age</w:t>
            </w:r>
            <w:r>
              <w:rPr>
                <w:rFonts w:ascii="Calibri" w:eastAsia="SimSun" w:hAnsi="Calibri" w:cs="Times New Roman" w:hint="eastAsia"/>
                <w:color w:val="000000"/>
              </w:rPr>
              <w:t xml:space="preserve"> </w:t>
            </w:r>
            <w:r>
              <w:rPr>
                <w:rFonts w:ascii="Calibri" w:eastAsia="SimSun" w:hAnsi="Calibri" w:cs="Times New Roman"/>
                <w:color w:val="000000"/>
              </w:rPr>
              <w:t>5-18</w:t>
            </w:r>
          </w:p>
        </w:tc>
      </w:tr>
      <w:tr w:rsidR="00CF0142" w14:paraId="78D69499"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4B72D03"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Area</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4246A002"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Sex</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A75575A"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Year of publication</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72A4DD60"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Number of publications</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39CDA93B"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Year of data</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1E211EE"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xml:space="preserve">Total number of </w:t>
            </w:r>
            <w:proofErr w:type="gramStart"/>
            <w:r>
              <w:rPr>
                <w:rFonts w:ascii="Calibri" w:eastAsia="SimSun" w:hAnsi="Calibri" w:cs="Times New Roman"/>
                <w:color w:val="000000"/>
              </w:rPr>
              <w:t>population</w:t>
            </w:r>
            <w:proofErr w:type="gramEnd"/>
          </w:p>
        </w:tc>
      </w:tr>
      <w:tr w:rsidR="00CF0142" w14:paraId="7BB60914"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5B0FBA2D"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Asia</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05662F49"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3C30BC51" w14:textId="77777777" w:rsidR="00CF0142" w:rsidRDefault="00CF0142" w:rsidP="00D85732">
            <w:pPr>
              <w:rPr>
                <w:rFonts w:ascii="Calibri" w:eastAsia="SimSun" w:hAnsi="Calibri" w:cs="Times New Roman"/>
                <w:color w:val="FF0000"/>
              </w:rPr>
            </w:pPr>
            <w:r>
              <w:rPr>
                <w:rFonts w:ascii="Calibri" w:eastAsia="SimSun" w:hAnsi="Calibri" w:cs="Times New Roman" w:hint="eastAsia"/>
                <w:color w:val="000000" w:themeColor="text1"/>
              </w:rPr>
              <w:t>2015</w:t>
            </w:r>
            <w:r>
              <w:rPr>
                <w:rFonts w:ascii="Calibri" w:eastAsia="SimSun" w:hAnsi="Calibri" w:cs="Times New Roman"/>
                <w:color w:val="000000" w:themeColor="text1"/>
              </w:rPr>
              <w:t>, 2017, 2018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34B53D21" w14:textId="77777777" w:rsidR="00CF0142" w:rsidRDefault="00CF0142" w:rsidP="00D85732">
            <w:pPr>
              <w:rPr>
                <w:rFonts w:ascii="Calibri" w:eastAsia="SimSun" w:hAnsi="Calibri" w:cs="Times New Roman"/>
                <w:color w:val="FF0000"/>
              </w:rPr>
            </w:pPr>
            <w:r>
              <w:rPr>
                <w:rFonts w:ascii="Calibri" w:eastAsia="SimSun" w:hAnsi="Calibri" w:cs="Times New Roman"/>
                <w:color w:val="FF0000"/>
              </w:rPr>
              <w:t> </w:t>
            </w:r>
            <w:r w:rsidRPr="005E6127">
              <w:rPr>
                <w:rFonts w:ascii="Calibri" w:eastAsia="SimSun" w:hAnsi="Calibri" w:cs="Times New Roman" w:hint="eastAsia"/>
                <w:color w:val="000000" w:themeColor="text1"/>
              </w:rPr>
              <w:t>3</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7F6DC54" w14:textId="77777777" w:rsidR="00CF0142" w:rsidRPr="005E6127" w:rsidRDefault="00CF0142" w:rsidP="00D85732">
            <w:pPr>
              <w:rPr>
                <w:rFonts w:ascii="Calibri" w:eastAsia="SimSun" w:hAnsi="Calibri" w:cs="Times New Roman"/>
                <w:color w:val="000000" w:themeColor="text1"/>
              </w:rPr>
            </w:pPr>
            <w:r>
              <w:rPr>
                <w:rFonts w:ascii="Calibri" w:eastAsia="SimSun" w:hAnsi="Calibri" w:cs="Times New Roman"/>
                <w:color w:val="000000" w:themeColor="text1"/>
              </w:rPr>
              <w:t xml:space="preserve">2011, </w:t>
            </w:r>
            <w:r>
              <w:rPr>
                <w:rFonts w:ascii="Calibri" w:eastAsia="SimSun" w:hAnsi="Calibri" w:cs="Times New Roman" w:hint="eastAsia"/>
                <w:color w:val="000000" w:themeColor="text1"/>
              </w:rPr>
              <w:t>2013/14</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446F44FA" w14:textId="77777777" w:rsidR="00CF0142" w:rsidRPr="005E6127" w:rsidRDefault="00CF0142" w:rsidP="00D85732">
            <w:pPr>
              <w:rPr>
                <w:rFonts w:ascii="Calibri" w:eastAsia="SimSun" w:hAnsi="Calibri" w:cs="Times New Roman"/>
                <w:color w:val="000000" w:themeColor="text1"/>
              </w:rPr>
            </w:pPr>
            <w:r>
              <w:rPr>
                <w:rFonts w:ascii="Calibri" w:eastAsia="SimSun" w:hAnsi="Calibri" w:cs="Times New Roman" w:hint="eastAsia"/>
                <w:color w:val="000000" w:themeColor="text1"/>
              </w:rPr>
              <w:t>11,273</w:t>
            </w:r>
          </w:p>
        </w:tc>
      </w:tr>
      <w:tr w:rsidR="00CF0142" w14:paraId="14183D88"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1873170"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0A806231"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Female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7A43B6BB"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themeColor="text1"/>
              </w:rPr>
              <w:t>2015</w:t>
            </w:r>
            <w:r>
              <w:rPr>
                <w:rFonts w:ascii="Calibri" w:eastAsia="SimSun" w:hAnsi="Calibri" w:cs="Times New Roman"/>
                <w:color w:val="000000" w:themeColor="text1"/>
              </w:rPr>
              <w:t>, 2017, 2018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12C62856" w14:textId="77777777" w:rsidR="00CF0142" w:rsidRDefault="00CF0142" w:rsidP="00D85732">
            <w:pPr>
              <w:rPr>
                <w:rFonts w:ascii="Calibri" w:eastAsia="SimSun" w:hAnsi="Calibri" w:cs="Times New Roman"/>
                <w:color w:val="000000"/>
              </w:rPr>
            </w:pPr>
            <w:r>
              <w:rPr>
                <w:rFonts w:ascii="Calibri" w:eastAsia="SimSun" w:hAnsi="Calibri" w:cs="Times New Roman"/>
                <w:color w:val="FF0000"/>
              </w:rPr>
              <w:t> </w:t>
            </w:r>
            <w:r w:rsidRPr="005E6127">
              <w:rPr>
                <w:rFonts w:ascii="Calibri" w:eastAsia="SimSun" w:hAnsi="Calibri" w:cs="Times New Roman" w:hint="eastAsia"/>
                <w:color w:val="000000" w:themeColor="text1"/>
              </w:rPr>
              <w:t>3</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7061D38" w14:textId="77777777" w:rsidR="00CF0142" w:rsidRDefault="00CF0142" w:rsidP="00D85732">
            <w:pPr>
              <w:rPr>
                <w:rFonts w:ascii="Calibri" w:eastAsia="SimSun" w:hAnsi="Calibri" w:cs="Times New Roman"/>
                <w:color w:val="000000"/>
              </w:rPr>
            </w:pPr>
            <w:r>
              <w:rPr>
                <w:rFonts w:ascii="Calibri" w:eastAsia="SimSun" w:hAnsi="Calibri" w:cs="Times New Roman"/>
                <w:color w:val="000000" w:themeColor="text1"/>
              </w:rPr>
              <w:t xml:space="preserve">2011, </w:t>
            </w:r>
            <w:r>
              <w:rPr>
                <w:rFonts w:ascii="Calibri" w:eastAsia="SimSun" w:hAnsi="Calibri" w:cs="Times New Roman" w:hint="eastAsia"/>
                <w:color w:val="000000" w:themeColor="text1"/>
              </w:rPr>
              <w:t>2013/14</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09BCD1B"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11,273</w:t>
            </w:r>
          </w:p>
        </w:tc>
      </w:tr>
      <w:tr w:rsidR="00CF0142" w14:paraId="4679E715"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0FD5125"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111E978A"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Mix/Both</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DA84B38"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w:t>
            </w:r>
            <w:r>
              <w:rPr>
                <w:rFonts w:ascii="Calibri" w:eastAsia="SimSun" w:hAnsi="Calibri" w:cs="Times New Roman"/>
                <w:color w:val="000000"/>
              </w:rPr>
              <w:t>5</w:t>
            </w:r>
            <w:r>
              <w:rPr>
                <w:rFonts w:ascii="Calibri" w:eastAsia="SimSun" w:hAnsi="Calibri" w:cs="Times New Roman" w:hint="eastAsia"/>
                <w:color w:val="000000"/>
              </w:rPr>
              <w:t>,2017,2017,201</w:t>
            </w:r>
            <w:r>
              <w:rPr>
                <w:rFonts w:ascii="Calibri" w:eastAsia="SimSun" w:hAnsi="Calibri" w:cs="Times New Roman"/>
                <w:color w:val="000000"/>
              </w:rPr>
              <w:t>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1C5A90A1"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4</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96B3439"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w:t>
            </w:r>
            <w:r>
              <w:rPr>
                <w:rFonts w:ascii="Calibri" w:eastAsia="SimSun" w:hAnsi="Calibri" w:cs="Times New Roman"/>
                <w:color w:val="000000"/>
              </w:rPr>
              <w:t>1</w:t>
            </w:r>
            <w:r>
              <w:rPr>
                <w:rFonts w:ascii="Calibri" w:eastAsia="SimSun" w:hAnsi="Calibri" w:cs="Times New Roman" w:hint="eastAsia"/>
                <w:color w:val="000000"/>
              </w:rPr>
              <w:t>,201</w:t>
            </w:r>
            <w:r>
              <w:rPr>
                <w:rFonts w:ascii="Calibri" w:eastAsia="SimSun" w:hAnsi="Calibri" w:cs="Times New Roman"/>
                <w:color w:val="000000"/>
              </w:rPr>
              <w:t>3</w:t>
            </w:r>
            <w:r>
              <w:rPr>
                <w:rFonts w:ascii="Calibri" w:eastAsia="SimSun" w:hAnsi="Calibri" w:cs="Times New Roman" w:hint="eastAsia"/>
                <w:color w:val="000000"/>
              </w:rPr>
              <w:t>/1</w:t>
            </w:r>
            <w:r>
              <w:rPr>
                <w:rFonts w:ascii="Calibri" w:eastAsia="SimSun" w:hAnsi="Calibri" w:cs="Times New Roman"/>
                <w:color w:val="000000"/>
              </w:rPr>
              <w:t>4</w:t>
            </w:r>
            <w:r>
              <w:rPr>
                <w:rFonts w:ascii="Calibri" w:eastAsia="SimSun" w:hAnsi="Calibri" w:cs="Times New Roman" w:hint="eastAsia"/>
                <w:color w:val="000000"/>
              </w:rPr>
              <w:t>,201</w:t>
            </w:r>
            <w:r>
              <w:rPr>
                <w:rFonts w:ascii="Calibri" w:eastAsia="SimSun" w:hAnsi="Calibri" w:cs="Times New Roman"/>
                <w:color w:val="000000"/>
              </w:rPr>
              <w:t>4</w:t>
            </w:r>
            <w:r>
              <w:rPr>
                <w:rFonts w:ascii="Calibri" w:eastAsia="SimSun" w:hAnsi="Calibri" w:cs="Times New Roman" w:hint="eastAsia"/>
                <w:color w:val="000000"/>
              </w:rPr>
              <w:t>/1</w:t>
            </w:r>
            <w:r>
              <w:rPr>
                <w:rFonts w:ascii="Calibri" w:eastAsia="SimSun" w:hAnsi="Calibri" w:cs="Times New Roman"/>
                <w:color w:val="000000"/>
              </w:rPr>
              <w:t>5</w:t>
            </w:r>
            <w:r>
              <w:rPr>
                <w:rFonts w:ascii="Calibri" w:eastAsia="SimSun" w:hAnsi="Calibri" w:cs="Times New Roman" w:hint="eastAsia"/>
                <w:color w:val="000000"/>
              </w:rPr>
              <w:t>,201</w:t>
            </w:r>
            <w:r>
              <w:rPr>
                <w:rFonts w:ascii="Calibri" w:eastAsia="SimSun" w:hAnsi="Calibri" w:cs="Times New Roman"/>
                <w:color w:val="000000"/>
              </w:rPr>
              <w:t>6</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0BF5058"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20,579</w:t>
            </w:r>
          </w:p>
        </w:tc>
      </w:tr>
      <w:tr w:rsidR="00CF0142" w14:paraId="2314DC22"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DA2E36D"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lastRenderedPageBreak/>
              <w:t>Pacific</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7CFBA6E2"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D3E2795"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2010,201</w:t>
            </w:r>
            <w:r>
              <w:rPr>
                <w:rFonts w:ascii="Calibri" w:eastAsia="SimSun" w:hAnsi="Calibri" w:cs="Times New Roman"/>
                <w:color w:val="000000"/>
              </w:rPr>
              <w:t>3</w:t>
            </w:r>
            <w:r>
              <w:rPr>
                <w:rFonts w:ascii="Calibri" w:eastAsia="SimSun" w:hAnsi="Calibri" w:cs="Times New Roman" w:hint="eastAsia"/>
                <w:color w:val="000000"/>
              </w:rPr>
              <w:t>,201</w:t>
            </w:r>
            <w:r>
              <w:rPr>
                <w:rFonts w:ascii="Calibri" w:eastAsia="SimSun" w:hAnsi="Calibri" w:cs="Times New Roman"/>
                <w:color w:val="000000"/>
              </w:rPr>
              <w:t>4</w:t>
            </w:r>
            <w:r>
              <w:rPr>
                <w:rFonts w:ascii="Calibri" w:eastAsia="SimSun" w:hAnsi="Calibri" w:cs="Times New Roman" w:hint="eastAsia"/>
                <w:color w:val="000000"/>
              </w:rPr>
              <w:t>,201</w:t>
            </w:r>
            <w:r>
              <w:rPr>
                <w:rFonts w:ascii="Calibri" w:eastAsia="SimSun" w:hAnsi="Calibri" w:cs="Times New Roman"/>
                <w:color w:val="000000"/>
              </w:rPr>
              <w:t>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34816628"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4</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6338DD01"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2005/06</w:t>
            </w:r>
            <w:r>
              <w:rPr>
                <w:rFonts w:ascii="Calibri" w:eastAsia="SimSun" w:hAnsi="Calibri" w:cs="Times New Roman"/>
                <w:color w:val="000000"/>
              </w:rPr>
              <w:t>, 2007, 2012, 2015/16</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17834C5A"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30,922</w:t>
            </w:r>
          </w:p>
        </w:tc>
      </w:tr>
      <w:tr w:rsidR="00CF0142" w14:paraId="48F31060"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24DCA1B"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2D4F7222"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Female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BDA53CC"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2010,</w:t>
            </w:r>
            <w:r>
              <w:rPr>
                <w:rFonts w:ascii="Calibri" w:eastAsia="SimSun" w:hAnsi="Calibri" w:cs="Times New Roman"/>
                <w:color w:val="000000"/>
              </w:rPr>
              <w:t xml:space="preserve">2013, </w:t>
            </w:r>
            <w:r>
              <w:rPr>
                <w:rFonts w:ascii="Calibri" w:eastAsia="SimSun" w:hAnsi="Calibri" w:cs="Times New Roman" w:hint="eastAsia"/>
                <w:color w:val="000000"/>
              </w:rPr>
              <w:t>2014,2018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61CDA3F5"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4</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917C898"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2005/06</w:t>
            </w:r>
            <w:r>
              <w:rPr>
                <w:rFonts w:ascii="Calibri" w:eastAsia="SimSun" w:hAnsi="Calibri" w:cs="Times New Roman"/>
                <w:color w:val="000000"/>
              </w:rPr>
              <w:t>, 2007, 2012, 2015/16</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107739DA"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30,922</w:t>
            </w:r>
          </w:p>
        </w:tc>
      </w:tr>
      <w:tr w:rsidR="00CF0142" w14:paraId="544125E6"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FC804D9"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276EC7BC"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Mix/Both</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FF13509"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2010</w:t>
            </w:r>
            <w:r>
              <w:rPr>
                <w:rFonts w:ascii="Calibri" w:eastAsia="SimSun" w:hAnsi="Calibri" w:cs="Times New Roman"/>
                <w:color w:val="000000"/>
              </w:rPr>
              <w:t>, 2012, 2013, 2014, 2018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438C8DE2"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5</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22BFB5C"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2005/06</w:t>
            </w:r>
            <w:r>
              <w:rPr>
                <w:rFonts w:ascii="Calibri" w:eastAsia="SimSun" w:hAnsi="Calibri" w:cs="Times New Roman"/>
                <w:color w:val="000000"/>
              </w:rPr>
              <w:t>, 2007, 2011/12, 2012, 2015/16</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6C56AD3E"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32,077</w:t>
            </w:r>
          </w:p>
        </w:tc>
      </w:tr>
      <w:tr w:rsidR="00CF0142" w14:paraId="5F8F42E8" w14:textId="77777777" w:rsidTr="00D85732">
        <w:trPr>
          <w:gridAfter w:val="1"/>
          <w:wAfter w:w="19" w:type="dxa"/>
          <w:trHeight w:val="285"/>
        </w:trPr>
        <w:tc>
          <w:tcPr>
            <w:tcW w:w="8330" w:type="dxa"/>
            <w:gridSpan w:val="9"/>
            <w:tcBorders>
              <w:top w:val="single" w:sz="4" w:space="0" w:color="auto"/>
              <w:left w:val="single" w:sz="4" w:space="0" w:color="auto"/>
              <w:bottom w:val="single" w:sz="4" w:space="0" w:color="auto"/>
              <w:right w:val="single" w:sz="4" w:space="0" w:color="auto"/>
            </w:tcBorders>
            <w:shd w:val="clear" w:color="auto" w:fill="E6E6E6"/>
            <w:tcMar>
              <w:top w:w="15" w:type="dxa"/>
              <w:left w:w="15" w:type="dxa"/>
              <w:bottom w:w="0" w:type="dxa"/>
              <w:right w:w="15" w:type="dxa"/>
            </w:tcMar>
            <w:vAlign w:val="bottom"/>
          </w:tcPr>
          <w:p w14:paraId="6257DB91"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Age</w:t>
            </w:r>
            <w:r>
              <w:rPr>
                <w:rFonts w:ascii="Calibri" w:eastAsia="SimSun" w:hAnsi="Calibri" w:cs="Times New Roman" w:hint="eastAsia"/>
                <w:color w:val="000000"/>
              </w:rPr>
              <w:t xml:space="preserve"> </w:t>
            </w:r>
            <w:r>
              <w:rPr>
                <w:rFonts w:ascii="Calibri" w:eastAsia="SimSun" w:hAnsi="Calibri" w:cs="Times New Roman"/>
                <w:color w:val="000000"/>
              </w:rPr>
              <w:t>18+</w:t>
            </w:r>
          </w:p>
        </w:tc>
      </w:tr>
      <w:tr w:rsidR="00CF0142" w14:paraId="1D4BDA04"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606BA71"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Area</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1B2B33B4"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Sex</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636B5223"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Year of publication</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273AE913"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Number of publications</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1A0C4802"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Year of data</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643340DA"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xml:space="preserve">Total number of </w:t>
            </w:r>
            <w:proofErr w:type="gramStart"/>
            <w:r>
              <w:rPr>
                <w:rFonts w:ascii="Calibri" w:eastAsia="SimSun" w:hAnsi="Calibri" w:cs="Times New Roman"/>
                <w:color w:val="000000"/>
              </w:rPr>
              <w:t>population</w:t>
            </w:r>
            <w:proofErr w:type="gramEnd"/>
          </w:p>
        </w:tc>
      </w:tr>
      <w:tr w:rsidR="00CF0142" w14:paraId="261E6EDD"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1F797BC"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Asia</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1284B754"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879D58E" w14:textId="77777777" w:rsidR="00CF0142" w:rsidRPr="005E6127" w:rsidRDefault="00CF0142" w:rsidP="00D85732">
            <w:pPr>
              <w:rPr>
                <w:rFonts w:ascii="Calibri" w:eastAsia="SimSun" w:hAnsi="Calibri" w:cs="Times New Roman"/>
                <w:color w:val="000000" w:themeColor="text1"/>
              </w:rPr>
            </w:pPr>
            <w:r>
              <w:rPr>
                <w:rFonts w:ascii="Calibri" w:eastAsia="SimSun" w:hAnsi="Calibri" w:cs="Times New Roman" w:hint="eastAsia"/>
                <w:color w:val="000000" w:themeColor="text1"/>
              </w:rPr>
              <w:t>2013,2015,</w:t>
            </w:r>
            <w:r>
              <w:rPr>
                <w:rFonts w:ascii="Calibri" w:eastAsia="SimSun" w:hAnsi="Calibri" w:cs="Times New Roman"/>
                <w:color w:val="000000" w:themeColor="text1"/>
              </w:rPr>
              <w:t xml:space="preserve">2016, 2017, </w:t>
            </w:r>
            <w:r>
              <w:rPr>
                <w:rFonts w:ascii="Calibri" w:eastAsia="SimSun" w:hAnsi="Calibri" w:cs="Times New Roman" w:hint="eastAsia"/>
                <w:color w:val="000000" w:themeColor="text1"/>
              </w:rPr>
              <w:t>2018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4502705E" w14:textId="77777777" w:rsidR="00CF0142" w:rsidRPr="005E6127" w:rsidRDefault="00CF0142" w:rsidP="00D85732">
            <w:pPr>
              <w:rPr>
                <w:rFonts w:ascii="Calibri" w:eastAsia="SimSun" w:hAnsi="Calibri" w:cs="Times New Roman"/>
                <w:color w:val="000000" w:themeColor="text1"/>
              </w:rPr>
            </w:pPr>
            <w:r>
              <w:rPr>
                <w:rFonts w:ascii="Calibri" w:eastAsia="SimSun" w:hAnsi="Calibri" w:cs="Times New Roman"/>
                <w:color w:val="FF0000"/>
              </w:rPr>
              <w:t> </w:t>
            </w:r>
            <w:r>
              <w:rPr>
                <w:rFonts w:ascii="Calibri" w:eastAsia="SimSun" w:hAnsi="Calibri" w:cs="Times New Roman" w:hint="eastAsia"/>
                <w:color w:val="000000" w:themeColor="text1"/>
              </w:rPr>
              <w:t>6</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99DA071" w14:textId="77777777" w:rsidR="00CF0142" w:rsidRPr="005E6127" w:rsidRDefault="00CF0142" w:rsidP="00D85732">
            <w:pPr>
              <w:rPr>
                <w:rFonts w:ascii="Calibri" w:eastAsia="SimSun" w:hAnsi="Calibri" w:cs="Times New Roman"/>
                <w:color w:val="000000" w:themeColor="text1"/>
              </w:rPr>
            </w:pPr>
            <w:r>
              <w:rPr>
                <w:rFonts w:ascii="Calibri" w:eastAsia="SimSun" w:hAnsi="Calibri" w:cs="Times New Roman" w:hint="eastAsia"/>
                <w:color w:val="000000" w:themeColor="text1"/>
              </w:rPr>
              <w:t>2016,2015,2013/14,2013,2012,2009</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7F20BDCD" w14:textId="77777777" w:rsidR="00CF0142" w:rsidRPr="005E6127" w:rsidRDefault="00CF0142" w:rsidP="00D85732">
            <w:pPr>
              <w:rPr>
                <w:rFonts w:ascii="Calibri" w:eastAsia="SimSun" w:hAnsi="Calibri" w:cs="Times New Roman"/>
                <w:color w:val="000000" w:themeColor="text1"/>
              </w:rPr>
            </w:pPr>
            <w:r>
              <w:rPr>
                <w:rFonts w:ascii="Calibri" w:eastAsia="SimSun" w:hAnsi="Calibri" w:cs="Times New Roman" w:hint="eastAsia"/>
                <w:color w:val="000000" w:themeColor="text1"/>
              </w:rPr>
              <w:t>70,802</w:t>
            </w:r>
          </w:p>
        </w:tc>
      </w:tr>
      <w:tr w:rsidR="00CF0142" w14:paraId="092FE4F6"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88FE4D4"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434AA355"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Female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168D9B5"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w:t>
            </w:r>
            <w:r>
              <w:rPr>
                <w:rFonts w:ascii="Calibri" w:eastAsia="SimSun" w:hAnsi="Calibri" w:cs="Times New Roman"/>
                <w:color w:val="000000"/>
              </w:rPr>
              <w:t>0</w:t>
            </w:r>
            <w:r>
              <w:rPr>
                <w:rFonts w:ascii="Calibri" w:eastAsia="SimSun" w:hAnsi="Calibri" w:cs="Times New Roman" w:hint="eastAsia"/>
                <w:color w:val="000000"/>
              </w:rPr>
              <w:t>8,201</w:t>
            </w:r>
            <w:r>
              <w:rPr>
                <w:rFonts w:ascii="Calibri" w:eastAsia="SimSun" w:hAnsi="Calibri" w:cs="Times New Roman"/>
                <w:color w:val="000000"/>
              </w:rPr>
              <w:t>0</w:t>
            </w:r>
            <w:r>
              <w:rPr>
                <w:rFonts w:ascii="Calibri" w:eastAsia="SimSun" w:hAnsi="Calibri" w:cs="Times New Roman" w:hint="eastAsia"/>
                <w:color w:val="000000"/>
              </w:rPr>
              <w:t>,201</w:t>
            </w:r>
            <w:r>
              <w:rPr>
                <w:rFonts w:ascii="Calibri" w:eastAsia="SimSun" w:hAnsi="Calibri" w:cs="Times New Roman"/>
                <w:color w:val="000000"/>
              </w:rPr>
              <w:t>1</w:t>
            </w:r>
            <w:r>
              <w:rPr>
                <w:rFonts w:ascii="Calibri" w:eastAsia="SimSun" w:hAnsi="Calibri" w:cs="Times New Roman" w:hint="eastAsia"/>
                <w:color w:val="000000"/>
              </w:rPr>
              <w:t>,201</w:t>
            </w:r>
            <w:r>
              <w:rPr>
                <w:rFonts w:ascii="Calibri" w:eastAsia="SimSun" w:hAnsi="Calibri" w:cs="Times New Roman"/>
                <w:color w:val="000000"/>
              </w:rPr>
              <w:t>3</w:t>
            </w:r>
            <w:r>
              <w:rPr>
                <w:rFonts w:ascii="Calibri" w:eastAsia="SimSun" w:hAnsi="Calibri" w:cs="Times New Roman" w:hint="eastAsia"/>
                <w:color w:val="000000"/>
              </w:rPr>
              <w:t>,201</w:t>
            </w:r>
            <w:r>
              <w:rPr>
                <w:rFonts w:ascii="Calibri" w:eastAsia="SimSun" w:hAnsi="Calibri" w:cs="Times New Roman"/>
                <w:color w:val="000000"/>
              </w:rPr>
              <w:t>5</w:t>
            </w:r>
            <w:r>
              <w:rPr>
                <w:rFonts w:ascii="Calibri" w:eastAsia="SimSun" w:hAnsi="Calibri" w:cs="Times New Roman" w:hint="eastAsia"/>
                <w:color w:val="000000"/>
              </w:rPr>
              <w:t>,201</w:t>
            </w:r>
            <w:r>
              <w:rPr>
                <w:rFonts w:ascii="Calibri" w:eastAsia="SimSun" w:hAnsi="Calibri" w:cs="Times New Roman"/>
                <w:color w:val="000000"/>
              </w:rPr>
              <w:t>6</w:t>
            </w:r>
            <w:r>
              <w:rPr>
                <w:rFonts w:ascii="Calibri" w:eastAsia="SimSun" w:hAnsi="Calibri" w:cs="Times New Roman" w:hint="eastAsia"/>
                <w:color w:val="000000"/>
              </w:rPr>
              <w:t>,201</w:t>
            </w:r>
            <w:r>
              <w:rPr>
                <w:rFonts w:ascii="Calibri" w:eastAsia="SimSun" w:hAnsi="Calibri" w:cs="Times New Roman"/>
                <w:color w:val="000000"/>
              </w:rPr>
              <w:t>7</w:t>
            </w:r>
            <w:r>
              <w:rPr>
                <w:rFonts w:ascii="Calibri" w:eastAsia="SimSun" w:hAnsi="Calibri" w:cs="Times New Roman" w:hint="eastAsia"/>
                <w:color w:val="000000"/>
              </w:rPr>
              <w:t>,20</w:t>
            </w:r>
            <w:r>
              <w:rPr>
                <w:rFonts w:ascii="Calibri" w:eastAsia="SimSun" w:hAnsi="Calibri" w:cs="Times New Roman"/>
                <w:color w:val="000000"/>
              </w:rPr>
              <w:t>1</w:t>
            </w:r>
            <w:r>
              <w:rPr>
                <w:rFonts w:ascii="Calibri" w:eastAsia="SimSun" w:hAnsi="Calibri" w:cs="Times New Roman" w:hint="eastAsia"/>
                <w:color w:val="000000"/>
              </w:rPr>
              <w:t>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4E74C8D3"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9</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714918D9"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2005/06</w:t>
            </w:r>
            <w:r>
              <w:rPr>
                <w:rFonts w:ascii="Calibri" w:eastAsia="SimSun" w:hAnsi="Calibri" w:cs="Times New Roman"/>
                <w:color w:val="000000"/>
              </w:rPr>
              <w:t>, 2009, 2011, 2012, 2013, 2013/14, 2014, 2015, 2016</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1C4B20A4"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143,186</w:t>
            </w:r>
          </w:p>
        </w:tc>
      </w:tr>
      <w:tr w:rsidR="00CF0142" w14:paraId="727489B4"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D6F5962"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03C4B7EE"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Mix/Both</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CD0E933"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w:t>
            </w:r>
            <w:r>
              <w:rPr>
                <w:rFonts w:ascii="Calibri" w:eastAsia="SimSun" w:hAnsi="Calibri" w:cs="Times New Roman"/>
                <w:color w:val="000000"/>
              </w:rPr>
              <w:t>0</w:t>
            </w:r>
            <w:r>
              <w:rPr>
                <w:rFonts w:ascii="Calibri" w:eastAsia="SimSun" w:hAnsi="Calibri" w:cs="Times New Roman" w:hint="eastAsia"/>
                <w:color w:val="000000"/>
              </w:rPr>
              <w:t>8,201</w:t>
            </w:r>
            <w:r>
              <w:rPr>
                <w:rFonts w:ascii="Calibri" w:eastAsia="SimSun" w:hAnsi="Calibri" w:cs="Times New Roman"/>
                <w:color w:val="000000"/>
              </w:rPr>
              <w:t>0</w:t>
            </w:r>
            <w:r>
              <w:rPr>
                <w:rFonts w:ascii="Calibri" w:eastAsia="SimSun" w:hAnsi="Calibri" w:cs="Times New Roman" w:hint="eastAsia"/>
                <w:color w:val="000000"/>
              </w:rPr>
              <w:t>,201</w:t>
            </w:r>
            <w:r>
              <w:rPr>
                <w:rFonts w:ascii="Calibri" w:eastAsia="SimSun" w:hAnsi="Calibri" w:cs="Times New Roman"/>
                <w:color w:val="000000"/>
              </w:rPr>
              <w:t>1</w:t>
            </w:r>
            <w:r>
              <w:rPr>
                <w:rFonts w:ascii="Calibri" w:eastAsia="SimSun" w:hAnsi="Calibri" w:cs="Times New Roman" w:hint="eastAsia"/>
                <w:color w:val="000000"/>
              </w:rPr>
              <w:t>,201</w:t>
            </w:r>
            <w:r>
              <w:rPr>
                <w:rFonts w:ascii="Calibri" w:eastAsia="SimSun" w:hAnsi="Calibri" w:cs="Times New Roman"/>
                <w:color w:val="000000"/>
              </w:rPr>
              <w:t>3</w:t>
            </w:r>
            <w:r>
              <w:rPr>
                <w:rFonts w:ascii="Calibri" w:eastAsia="SimSun" w:hAnsi="Calibri" w:cs="Times New Roman" w:hint="eastAsia"/>
                <w:color w:val="000000"/>
              </w:rPr>
              <w:t>,201</w:t>
            </w:r>
            <w:r>
              <w:rPr>
                <w:rFonts w:ascii="Calibri" w:eastAsia="SimSun" w:hAnsi="Calibri" w:cs="Times New Roman"/>
                <w:color w:val="000000"/>
              </w:rPr>
              <w:t>5</w:t>
            </w:r>
            <w:r>
              <w:rPr>
                <w:rFonts w:ascii="Calibri" w:eastAsia="SimSun" w:hAnsi="Calibri" w:cs="Times New Roman" w:hint="eastAsia"/>
                <w:color w:val="000000"/>
              </w:rPr>
              <w:t>,201</w:t>
            </w:r>
            <w:r>
              <w:rPr>
                <w:rFonts w:ascii="Calibri" w:eastAsia="SimSun" w:hAnsi="Calibri" w:cs="Times New Roman"/>
                <w:color w:val="000000"/>
              </w:rPr>
              <w:t>6</w:t>
            </w:r>
            <w:r>
              <w:rPr>
                <w:rFonts w:ascii="Calibri" w:eastAsia="SimSun" w:hAnsi="Calibri" w:cs="Times New Roman" w:hint="eastAsia"/>
                <w:color w:val="000000"/>
              </w:rPr>
              <w:t>,201</w:t>
            </w:r>
            <w:r>
              <w:rPr>
                <w:rFonts w:ascii="Calibri" w:eastAsia="SimSun" w:hAnsi="Calibri" w:cs="Times New Roman"/>
                <w:color w:val="000000"/>
              </w:rPr>
              <w:t>7</w:t>
            </w:r>
            <w:r>
              <w:rPr>
                <w:rFonts w:ascii="Calibri" w:eastAsia="SimSun" w:hAnsi="Calibri" w:cs="Times New Roman" w:hint="eastAsia"/>
                <w:color w:val="000000"/>
              </w:rPr>
              <w:t>,20</w:t>
            </w:r>
            <w:r>
              <w:rPr>
                <w:rFonts w:ascii="Calibri" w:eastAsia="SimSun" w:hAnsi="Calibri" w:cs="Times New Roman"/>
                <w:color w:val="000000"/>
              </w:rPr>
              <w:t>1</w:t>
            </w:r>
            <w:r>
              <w:rPr>
                <w:rFonts w:ascii="Calibri" w:eastAsia="SimSun" w:hAnsi="Calibri" w:cs="Times New Roman" w:hint="eastAsia"/>
                <w:color w:val="000000"/>
              </w:rPr>
              <w:t>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658F04CB"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9</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3AB7D396"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2005/06</w:t>
            </w:r>
            <w:r>
              <w:rPr>
                <w:rFonts w:ascii="Calibri" w:eastAsia="SimSun" w:hAnsi="Calibri" w:cs="Times New Roman"/>
                <w:color w:val="000000"/>
              </w:rPr>
              <w:t>, 2009, 2011, 2012, 2013, 2013/14, 2014, 2015, 2016</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393CF44A"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52,289</w:t>
            </w:r>
          </w:p>
        </w:tc>
      </w:tr>
      <w:tr w:rsidR="00CF0142" w14:paraId="6D5EBE75"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BD3C1E3"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Pacific</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05C21947"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2507D5B"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2015</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64E5C740"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1</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E19CF1F"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2011</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1F2BC62F"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2184</w:t>
            </w:r>
          </w:p>
        </w:tc>
      </w:tr>
      <w:tr w:rsidR="00CF0142" w14:paraId="417C8B80"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6BD6FFC"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0C7DFC87"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Female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84D82AF"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2015</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309B63E5"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2</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4540662"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2011</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3685AE4D"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18,457</w:t>
            </w:r>
          </w:p>
        </w:tc>
      </w:tr>
      <w:tr w:rsidR="00CF0142" w14:paraId="63EDF727"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2008AEF"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49DEE012"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Mix/Both</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646E5F0"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2015</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68EFE208"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2</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5BF2F70"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2011</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28BB00F"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18,457</w:t>
            </w:r>
          </w:p>
        </w:tc>
      </w:tr>
      <w:tr w:rsidR="00CF0142" w14:paraId="2A3B6070" w14:textId="77777777" w:rsidTr="00D85732">
        <w:trPr>
          <w:gridAfter w:val="1"/>
          <w:wAfter w:w="19" w:type="dxa"/>
          <w:trHeight w:val="285"/>
        </w:trPr>
        <w:tc>
          <w:tcPr>
            <w:tcW w:w="8330" w:type="dxa"/>
            <w:gridSpan w:val="9"/>
            <w:tcBorders>
              <w:top w:val="single" w:sz="4" w:space="0" w:color="auto"/>
              <w:left w:val="single" w:sz="4" w:space="0" w:color="auto"/>
              <w:bottom w:val="single" w:sz="4" w:space="0" w:color="auto"/>
              <w:right w:val="single" w:sz="4" w:space="0" w:color="auto"/>
            </w:tcBorders>
            <w:shd w:val="clear" w:color="auto" w:fill="E6E6E6"/>
            <w:tcMar>
              <w:top w:w="15" w:type="dxa"/>
              <w:left w:w="15" w:type="dxa"/>
              <w:bottom w:w="0" w:type="dxa"/>
              <w:right w:w="15" w:type="dxa"/>
            </w:tcMar>
            <w:vAlign w:val="bottom"/>
          </w:tcPr>
          <w:p w14:paraId="3B2F8CDA"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Age all and unspecified</w:t>
            </w:r>
          </w:p>
        </w:tc>
      </w:tr>
      <w:tr w:rsidR="00CF0142" w14:paraId="40C382C2"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2EF68FA"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Area</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759B12D0"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Sex</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92DA727"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Year of publication</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47726B18"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Number of publications</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B834F17"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Year of data</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477DD0E4"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xml:space="preserve">Total number of </w:t>
            </w:r>
            <w:proofErr w:type="gramStart"/>
            <w:r>
              <w:rPr>
                <w:rFonts w:ascii="Calibri" w:eastAsia="SimSun" w:hAnsi="Calibri" w:cs="Times New Roman"/>
                <w:color w:val="000000"/>
              </w:rPr>
              <w:t>population</w:t>
            </w:r>
            <w:proofErr w:type="gramEnd"/>
          </w:p>
        </w:tc>
      </w:tr>
      <w:tr w:rsidR="00CF0142" w14:paraId="29BC93AF" w14:textId="77777777" w:rsidTr="00D85732">
        <w:trPr>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77C34B4"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Asia</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62FEAA44"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Male</w:t>
            </w:r>
          </w:p>
        </w:tc>
        <w:tc>
          <w:tcPr>
            <w:tcW w:w="2067" w:type="dxa"/>
            <w:tcBorders>
              <w:top w:val="nil"/>
              <w:left w:val="nil"/>
              <w:bottom w:val="single" w:sz="4" w:space="0" w:color="auto"/>
              <w:right w:val="single" w:sz="4" w:space="0" w:color="auto"/>
            </w:tcBorders>
            <w:tcMar>
              <w:top w:w="15" w:type="dxa"/>
              <w:left w:w="15" w:type="dxa"/>
              <w:bottom w:w="0" w:type="dxa"/>
              <w:right w:w="15" w:type="dxa"/>
            </w:tcMar>
            <w:vAlign w:val="bottom"/>
          </w:tcPr>
          <w:p w14:paraId="5ED6DA7A" w14:textId="77777777" w:rsidR="00CF0142" w:rsidRPr="005E6127" w:rsidRDefault="00CF0142" w:rsidP="00D85732">
            <w:pPr>
              <w:rPr>
                <w:rFonts w:ascii="Calibri" w:eastAsia="SimSun" w:hAnsi="Calibri" w:cs="Times New Roman"/>
                <w:color w:val="000000" w:themeColor="text1"/>
              </w:rPr>
            </w:pPr>
            <w:r>
              <w:rPr>
                <w:rFonts w:ascii="Calibri" w:eastAsia="SimSun" w:hAnsi="Calibri" w:cs="Times New Roman" w:hint="eastAsia"/>
                <w:color w:val="000000" w:themeColor="text1"/>
              </w:rPr>
              <w:t>20</w:t>
            </w:r>
            <w:r>
              <w:rPr>
                <w:rFonts w:ascii="Calibri" w:eastAsia="SimSun" w:hAnsi="Calibri" w:cs="Times New Roman"/>
                <w:color w:val="000000" w:themeColor="text1"/>
              </w:rPr>
              <w:t>0</w:t>
            </w:r>
            <w:r>
              <w:rPr>
                <w:rFonts w:ascii="Calibri" w:eastAsia="SimSun" w:hAnsi="Calibri" w:cs="Times New Roman" w:hint="eastAsia"/>
                <w:color w:val="000000" w:themeColor="text1"/>
              </w:rPr>
              <w:t>8,201</w:t>
            </w:r>
            <w:r>
              <w:rPr>
                <w:rFonts w:ascii="Calibri" w:eastAsia="SimSun" w:hAnsi="Calibri" w:cs="Times New Roman"/>
                <w:color w:val="000000" w:themeColor="text1"/>
              </w:rPr>
              <w:t>0</w:t>
            </w:r>
            <w:r>
              <w:rPr>
                <w:rFonts w:ascii="Calibri" w:eastAsia="SimSun" w:hAnsi="Calibri" w:cs="Times New Roman" w:hint="eastAsia"/>
                <w:color w:val="000000" w:themeColor="text1"/>
              </w:rPr>
              <w:t>,201</w:t>
            </w:r>
            <w:r>
              <w:rPr>
                <w:rFonts w:ascii="Calibri" w:eastAsia="SimSun" w:hAnsi="Calibri" w:cs="Times New Roman"/>
                <w:color w:val="000000" w:themeColor="text1"/>
              </w:rPr>
              <w:t>1</w:t>
            </w:r>
            <w:r>
              <w:rPr>
                <w:rFonts w:ascii="Calibri" w:eastAsia="SimSun" w:hAnsi="Calibri" w:cs="Times New Roman" w:hint="eastAsia"/>
                <w:color w:val="000000" w:themeColor="text1"/>
              </w:rPr>
              <w:t>,201</w:t>
            </w:r>
            <w:r>
              <w:rPr>
                <w:rFonts w:ascii="Calibri" w:eastAsia="SimSun" w:hAnsi="Calibri" w:cs="Times New Roman"/>
                <w:color w:val="000000" w:themeColor="text1"/>
              </w:rPr>
              <w:t>3</w:t>
            </w:r>
            <w:r>
              <w:rPr>
                <w:rFonts w:ascii="Calibri" w:eastAsia="SimSun" w:hAnsi="Calibri" w:cs="Times New Roman" w:hint="eastAsia"/>
                <w:color w:val="000000" w:themeColor="text1"/>
              </w:rPr>
              <w:t>,2014,201</w:t>
            </w:r>
            <w:r>
              <w:rPr>
                <w:rFonts w:ascii="Calibri" w:eastAsia="SimSun" w:hAnsi="Calibri" w:cs="Times New Roman"/>
                <w:color w:val="000000" w:themeColor="text1"/>
              </w:rPr>
              <w:t>5</w:t>
            </w:r>
            <w:r>
              <w:rPr>
                <w:rFonts w:ascii="Calibri" w:eastAsia="SimSun" w:hAnsi="Calibri" w:cs="Times New Roman" w:hint="eastAsia"/>
                <w:color w:val="000000" w:themeColor="text1"/>
              </w:rPr>
              <w:t>,201</w:t>
            </w:r>
            <w:r>
              <w:rPr>
                <w:rFonts w:ascii="Calibri" w:eastAsia="SimSun" w:hAnsi="Calibri" w:cs="Times New Roman"/>
                <w:color w:val="000000" w:themeColor="text1"/>
              </w:rPr>
              <w:t>6</w:t>
            </w:r>
            <w:r>
              <w:rPr>
                <w:rFonts w:ascii="Calibri" w:eastAsia="SimSun" w:hAnsi="Calibri" w:cs="Times New Roman" w:hint="eastAsia"/>
                <w:color w:val="000000" w:themeColor="text1"/>
              </w:rPr>
              <w:t>,201</w:t>
            </w:r>
            <w:r>
              <w:rPr>
                <w:rFonts w:ascii="Calibri" w:eastAsia="SimSun" w:hAnsi="Calibri" w:cs="Times New Roman"/>
                <w:color w:val="000000" w:themeColor="text1"/>
              </w:rPr>
              <w:t>7</w:t>
            </w:r>
            <w:r>
              <w:rPr>
                <w:rFonts w:ascii="Calibri" w:eastAsia="SimSun" w:hAnsi="Calibri" w:cs="Times New Roman" w:hint="eastAsia"/>
                <w:color w:val="000000" w:themeColor="text1"/>
              </w:rPr>
              <w:t>,20</w:t>
            </w:r>
            <w:r>
              <w:rPr>
                <w:rFonts w:ascii="Calibri" w:eastAsia="SimSun" w:hAnsi="Calibri" w:cs="Times New Roman"/>
                <w:color w:val="000000" w:themeColor="text1"/>
              </w:rPr>
              <w:t>1</w:t>
            </w:r>
            <w:r>
              <w:rPr>
                <w:rFonts w:ascii="Calibri" w:eastAsia="SimSun" w:hAnsi="Calibri" w:cs="Times New Roman" w:hint="eastAsia"/>
                <w:color w:val="000000" w:themeColor="text1"/>
              </w:rPr>
              <w:t>8</w:t>
            </w:r>
          </w:p>
        </w:tc>
        <w:tc>
          <w:tcPr>
            <w:tcW w:w="1609"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14:paraId="73886A1C" w14:textId="77777777" w:rsidR="00CF0142" w:rsidRPr="00FF5173" w:rsidRDefault="00CF0142" w:rsidP="00D85732">
            <w:pPr>
              <w:rPr>
                <w:rFonts w:ascii="Calibri" w:eastAsia="SimSun" w:hAnsi="Calibri" w:cs="Times New Roman"/>
                <w:color w:val="000000" w:themeColor="text1"/>
              </w:rPr>
            </w:pPr>
            <w:r>
              <w:rPr>
                <w:rFonts w:ascii="Calibri" w:eastAsia="SimSun" w:hAnsi="Calibri" w:cs="Times New Roman"/>
                <w:color w:val="FF0000"/>
              </w:rPr>
              <w:t> </w:t>
            </w:r>
            <w:r>
              <w:rPr>
                <w:rFonts w:ascii="Calibri" w:eastAsia="SimSun" w:hAnsi="Calibri" w:cs="Times New Roman" w:hint="eastAsia"/>
                <w:color w:val="000000" w:themeColor="text1"/>
              </w:rPr>
              <w:t>22</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35BB4AC" w14:textId="77777777" w:rsidR="00CF0142" w:rsidRPr="005E6127" w:rsidRDefault="00CF0142" w:rsidP="00D85732">
            <w:pPr>
              <w:rPr>
                <w:rFonts w:ascii="Calibri" w:eastAsia="SimSun" w:hAnsi="Calibri" w:cs="Times New Roman"/>
                <w:color w:val="000000" w:themeColor="text1"/>
              </w:rPr>
            </w:pPr>
            <w:r>
              <w:rPr>
                <w:rFonts w:ascii="Calibri" w:eastAsia="SimSun" w:hAnsi="Calibri" w:cs="Times New Roman"/>
                <w:color w:val="000000" w:themeColor="text1"/>
              </w:rPr>
              <w:t xml:space="preserve">2009, 2011, 2012, 2013, 2013/14, 2014, </w:t>
            </w:r>
            <w:r>
              <w:rPr>
                <w:rFonts w:ascii="Calibri" w:eastAsia="SimSun" w:hAnsi="Calibri" w:cs="Times New Roman"/>
                <w:color w:val="000000" w:themeColor="text1"/>
              </w:rPr>
              <w:lastRenderedPageBreak/>
              <w:t>2014/15, 2015, 2016</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02F181C" w14:textId="77777777" w:rsidR="00CF0142" w:rsidRPr="00FF5173" w:rsidRDefault="00CF0142" w:rsidP="00D85732">
            <w:pPr>
              <w:rPr>
                <w:rFonts w:ascii="Calibri" w:eastAsia="SimSun" w:hAnsi="Calibri" w:cs="Times New Roman"/>
                <w:color w:val="000000" w:themeColor="text1"/>
              </w:rPr>
            </w:pPr>
            <w:r>
              <w:rPr>
                <w:rFonts w:ascii="Calibri" w:eastAsia="SimSun" w:hAnsi="Calibri" w:cs="Times New Roman" w:hint="eastAsia"/>
                <w:color w:val="000000" w:themeColor="text1"/>
              </w:rPr>
              <w:lastRenderedPageBreak/>
              <w:t>378,241</w:t>
            </w:r>
          </w:p>
        </w:tc>
      </w:tr>
      <w:tr w:rsidR="00CF0142" w14:paraId="34EEBD3B"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27A6C2E"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6D94ED23"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Female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055A3C0C"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themeColor="text1"/>
              </w:rPr>
              <w:t>20</w:t>
            </w:r>
            <w:r>
              <w:rPr>
                <w:rFonts w:ascii="Calibri" w:eastAsia="SimSun" w:hAnsi="Calibri" w:cs="Times New Roman"/>
                <w:color w:val="000000" w:themeColor="text1"/>
              </w:rPr>
              <w:t>0</w:t>
            </w:r>
            <w:r>
              <w:rPr>
                <w:rFonts w:ascii="Calibri" w:eastAsia="SimSun" w:hAnsi="Calibri" w:cs="Times New Roman" w:hint="eastAsia"/>
                <w:color w:val="000000" w:themeColor="text1"/>
              </w:rPr>
              <w:t>8,201</w:t>
            </w:r>
            <w:r>
              <w:rPr>
                <w:rFonts w:ascii="Calibri" w:eastAsia="SimSun" w:hAnsi="Calibri" w:cs="Times New Roman"/>
                <w:color w:val="000000" w:themeColor="text1"/>
              </w:rPr>
              <w:t>0</w:t>
            </w:r>
            <w:r>
              <w:rPr>
                <w:rFonts w:ascii="Calibri" w:eastAsia="SimSun" w:hAnsi="Calibri" w:cs="Times New Roman" w:hint="eastAsia"/>
                <w:color w:val="000000" w:themeColor="text1"/>
              </w:rPr>
              <w:t>,201</w:t>
            </w:r>
            <w:r>
              <w:rPr>
                <w:rFonts w:ascii="Calibri" w:eastAsia="SimSun" w:hAnsi="Calibri" w:cs="Times New Roman"/>
                <w:color w:val="000000" w:themeColor="text1"/>
              </w:rPr>
              <w:t>1</w:t>
            </w:r>
            <w:r>
              <w:rPr>
                <w:rFonts w:ascii="Calibri" w:eastAsia="SimSun" w:hAnsi="Calibri" w:cs="Times New Roman" w:hint="eastAsia"/>
                <w:color w:val="000000" w:themeColor="text1"/>
              </w:rPr>
              <w:t>,201</w:t>
            </w:r>
            <w:r>
              <w:rPr>
                <w:rFonts w:ascii="Calibri" w:eastAsia="SimSun" w:hAnsi="Calibri" w:cs="Times New Roman"/>
                <w:color w:val="000000" w:themeColor="text1"/>
              </w:rPr>
              <w:t>3</w:t>
            </w:r>
            <w:r>
              <w:rPr>
                <w:rFonts w:ascii="Calibri" w:eastAsia="SimSun" w:hAnsi="Calibri" w:cs="Times New Roman" w:hint="eastAsia"/>
                <w:color w:val="000000" w:themeColor="text1"/>
              </w:rPr>
              <w:t>,2014,201</w:t>
            </w:r>
            <w:r>
              <w:rPr>
                <w:rFonts w:ascii="Calibri" w:eastAsia="SimSun" w:hAnsi="Calibri" w:cs="Times New Roman"/>
                <w:color w:val="000000" w:themeColor="text1"/>
              </w:rPr>
              <w:t>5</w:t>
            </w:r>
            <w:r>
              <w:rPr>
                <w:rFonts w:ascii="Calibri" w:eastAsia="SimSun" w:hAnsi="Calibri" w:cs="Times New Roman" w:hint="eastAsia"/>
                <w:color w:val="000000" w:themeColor="text1"/>
              </w:rPr>
              <w:t>,201</w:t>
            </w:r>
            <w:r>
              <w:rPr>
                <w:rFonts w:ascii="Calibri" w:eastAsia="SimSun" w:hAnsi="Calibri" w:cs="Times New Roman"/>
                <w:color w:val="000000" w:themeColor="text1"/>
              </w:rPr>
              <w:t>6</w:t>
            </w:r>
            <w:r>
              <w:rPr>
                <w:rFonts w:ascii="Calibri" w:eastAsia="SimSun" w:hAnsi="Calibri" w:cs="Times New Roman" w:hint="eastAsia"/>
                <w:color w:val="000000" w:themeColor="text1"/>
              </w:rPr>
              <w:t>,201</w:t>
            </w:r>
            <w:r>
              <w:rPr>
                <w:rFonts w:ascii="Calibri" w:eastAsia="SimSun" w:hAnsi="Calibri" w:cs="Times New Roman"/>
                <w:color w:val="000000" w:themeColor="text1"/>
              </w:rPr>
              <w:t>7</w:t>
            </w:r>
            <w:r>
              <w:rPr>
                <w:rFonts w:ascii="Calibri" w:eastAsia="SimSun" w:hAnsi="Calibri" w:cs="Times New Roman" w:hint="eastAsia"/>
                <w:color w:val="000000" w:themeColor="text1"/>
              </w:rPr>
              <w:t>,20</w:t>
            </w:r>
            <w:r>
              <w:rPr>
                <w:rFonts w:ascii="Calibri" w:eastAsia="SimSun" w:hAnsi="Calibri" w:cs="Times New Roman"/>
                <w:color w:val="000000" w:themeColor="text1"/>
              </w:rPr>
              <w:t>1</w:t>
            </w:r>
            <w:r>
              <w:rPr>
                <w:rFonts w:ascii="Calibri" w:eastAsia="SimSun" w:hAnsi="Calibri" w:cs="Times New Roman" w:hint="eastAsia"/>
                <w:color w:val="000000" w:themeColor="text1"/>
              </w:rPr>
              <w:t>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71BE5439"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25</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DB213EE" w14:textId="77777777" w:rsidR="00CF0142" w:rsidRDefault="00CF0142" w:rsidP="00D85732">
            <w:pPr>
              <w:rPr>
                <w:rFonts w:ascii="Calibri" w:eastAsia="SimSun" w:hAnsi="Calibri" w:cs="Times New Roman"/>
                <w:color w:val="000000"/>
              </w:rPr>
            </w:pPr>
            <w:r>
              <w:rPr>
                <w:rFonts w:ascii="Calibri" w:eastAsia="SimSun" w:hAnsi="Calibri" w:cs="Times New Roman"/>
                <w:color w:val="000000" w:themeColor="text1"/>
              </w:rPr>
              <w:t>2007/08, 2008, 2009, 2011, 2012, 2013, 2013/14, 2014, 2014/15, 2015, 2016, 2017</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3B369CE"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633,548</w:t>
            </w:r>
          </w:p>
        </w:tc>
      </w:tr>
      <w:tr w:rsidR="00CF0142" w14:paraId="01399FB7"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5DE5F84"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7F03380C"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Mix/Both</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398A102F"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themeColor="text1"/>
              </w:rPr>
              <w:t>20</w:t>
            </w:r>
            <w:r>
              <w:rPr>
                <w:rFonts w:ascii="Calibri" w:eastAsia="SimSun" w:hAnsi="Calibri" w:cs="Times New Roman"/>
                <w:color w:val="000000" w:themeColor="text1"/>
              </w:rPr>
              <w:t>0</w:t>
            </w:r>
            <w:r>
              <w:rPr>
                <w:rFonts w:ascii="Calibri" w:eastAsia="SimSun" w:hAnsi="Calibri" w:cs="Times New Roman" w:hint="eastAsia"/>
                <w:color w:val="000000" w:themeColor="text1"/>
              </w:rPr>
              <w:t>8,201</w:t>
            </w:r>
            <w:r>
              <w:rPr>
                <w:rFonts w:ascii="Calibri" w:eastAsia="SimSun" w:hAnsi="Calibri" w:cs="Times New Roman"/>
                <w:color w:val="000000" w:themeColor="text1"/>
              </w:rPr>
              <w:t>0</w:t>
            </w:r>
            <w:r>
              <w:rPr>
                <w:rFonts w:ascii="Calibri" w:eastAsia="SimSun" w:hAnsi="Calibri" w:cs="Times New Roman" w:hint="eastAsia"/>
                <w:color w:val="000000" w:themeColor="text1"/>
              </w:rPr>
              <w:t>,201</w:t>
            </w:r>
            <w:r>
              <w:rPr>
                <w:rFonts w:ascii="Calibri" w:eastAsia="SimSun" w:hAnsi="Calibri" w:cs="Times New Roman"/>
                <w:color w:val="000000" w:themeColor="text1"/>
              </w:rPr>
              <w:t>1</w:t>
            </w:r>
            <w:r>
              <w:rPr>
                <w:rFonts w:ascii="Calibri" w:eastAsia="SimSun" w:hAnsi="Calibri" w:cs="Times New Roman" w:hint="eastAsia"/>
                <w:color w:val="000000" w:themeColor="text1"/>
              </w:rPr>
              <w:t>,201</w:t>
            </w:r>
            <w:r>
              <w:rPr>
                <w:rFonts w:ascii="Calibri" w:eastAsia="SimSun" w:hAnsi="Calibri" w:cs="Times New Roman"/>
                <w:color w:val="000000" w:themeColor="text1"/>
              </w:rPr>
              <w:t>3</w:t>
            </w:r>
            <w:r>
              <w:rPr>
                <w:rFonts w:ascii="Calibri" w:eastAsia="SimSun" w:hAnsi="Calibri" w:cs="Times New Roman" w:hint="eastAsia"/>
                <w:color w:val="000000" w:themeColor="text1"/>
              </w:rPr>
              <w:t>,2014,201</w:t>
            </w:r>
            <w:r>
              <w:rPr>
                <w:rFonts w:ascii="Calibri" w:eastAsia="SimSun" w:hAnsi="Calibri" w:cs="Times New Roman"/>
                <w:color w:val="000000" w:themeColor="text1"/>
              </w:rPr>
              <w:t>5</w:t>
            </w:r>
            <w:r>
              <w:rPr>
                <w:rFonts w:ascii="Calibri" w:eastAsia="SimSun" w:hAnsi="Calibri" w:cs="Times New Roman" w:hint="eastAsia"/>
                <w:color w:val="000000" w:themeColor="text1"/>
              </w:rPr>
              <w:t>,201</w:t>
            </w:r>
            <w:r>
              <w:rPr>
                <w:rFonts w:ascii="Calibri" w:eastAsia="SimSun" w:hAnsi="Calibri" w:cs="Times New Roman"/>
                <w:color w:val="000000" w:themeColor="text1"/>
              </w:rPr>
              <w:t>6</w:t>
            </w:r>
            <w:r>
              <w:rPr>
                <w:rFonts w:ascii="Calibri" w:eastAsia="SimSun" w:hAnsi="Calibri" w:cs="Times New Roman" w:hint="eastAsia"/>
                <w:color w:val="000000" w:themeColor="text1"/>
              </w:rPr>
              <w:t>,201</w:t>
            </w:r>
            <w:r>
              <w:rPr>
                <w:rFonts w:ascii="Calibri" w:eastAsia="SimSun" w:hAnsi="Calibri" w:cs="Times New Roman"/>
                <w:color w:val="000000" w:themeColor="text1"/>
              </w:rPr>
              <w:t>7</w:t>
            </w:r>
            <w:r>
              <w:rPr>
                <w:rFonts w:ascii="Calibri" w:eastAsia="SimSun" w:hAnsi="Calibri" w:cs="Times New Roman" w:hint="eastAsia"/>
                <w:color w:val="000000" w:themeColor="text1"/>
              </w:rPr>
              <w:t>,20</w:t>
            </w:r>
            <w:r>
              <w:rPr>
                <w:rFonts w:ascii="Calibri" w:eastAsia="SimSun" w:hAnsi="Calibri" w:cs="Times New Roman"/>
                <w:color w:val="000000" w:themeColor="text1"/>
              </w:rPr>
              <w:t>1</w:t>
            </w:r>
            <w:r>
              <w:rPr>
                <w:rFonts w:ascii="Calibri" w:eastAsia="SimSun" w:hAnsi="Calibri" w:cs="Times New Roman" w:hint="eastAsia"/>
                <w:color w:val="000000" w:themeColor="text1"/>
              </w:rPr>
              <w:t>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009B9D3D"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25</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6CEBEF8B" w14:textId="77777777" w:rsidR="00CF0142" w:rsidRDefault="00CF0142" w:rsidP="00D85732">
            <w:pPr>
              <w:rPr>
                <w:rFonts w:ascii="Calibri" w:eastAsia="SimSun" w:hAnsi="Calibri" w:cs="Times New Roman"/>
                <w:color w:val="000000"/>
              </w:rPr>
            </w:pPr>
            <w:r>
              <w:rPr>
                <w:rFonts w:ascii="Calibri" w:eastAsia="SimSun" w:hAnsi="Calibri" w:cs="Times New Roman"/>
                <w:color w:val="000000" w:themeColor="text1"/>
              </w:rPr>
              <w:t>2007/08, 2008, 2009, 2011, 2012, 2013, 2013/14, 2014, 2014/15, 2015, 2016, 2017</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3251A527"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633,548</w:t>
            </w:r>
          </w:p>
        </w:tc>
      </w:tr>
      <w:tr w:rsidR="00CF0142" w14:paraId="59DACA0A"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AB0DB17"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Pacific</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0DD1D042"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452F3D38"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w:t>
            </w:r>
            <w:r>
              <w:rPr>
                <w:rFonts w:ascii="Calibri" w:eastAsia="SimSun" w:hAnsi="Calibri" w:cs="Times New Roman"/>
                <w:color w:val="000000"/>
              </w:rPr>
              <w:t>0</w:t>
            </w:r>
            <w:r>
              <w:rPr>
                <w:rFonts w:ascii="Calibri" w:eastAsia="SimSun" w:hAnsi="Calibri" w:cs="Times New Roman" w:hint="eastAsia"/>
                <w:color w:val="000000"/>
              </w:rPr>
              <w:t>,</w:t>
            </w:r>
            <w:r>
              <w:rPr>
                <w:rFonts w:ascii="Calibri" w:eastAsia="SimSun" w:hAnsi="Calibri" w:cs="Times New Roman"/>
                <w:color w:val="000000"/>
              </w:rPr>
              <w:t xml:space="preserve"> </w:t>
            </w:r>
            <w:r>
              <w:rPr>
                <w:rFonts w:ascii="Calibri" w:eastAsia="SimSun" w:hAnsi="Calibri" w:cs="Times New Roman" w:hint="eastAsia"/>
                <w:color w:val="000000"/>
              </w:rPr>
              <w:t>201</w:t>
            </w:r>
            <w:r>
              <w:rPr>
                <w:rFonts w:ascii="Calibri" w:eastAsia="SimSun" w:hAnsi="Calibri" w:cs="Times New Roman"/>
                <w:color w:val="000000"/>
              </w:rPr>
              <w:t>2</w:t>
            </w:r>
            <w:r>
              <w:rPr>
                <w:rFonts w:ascii="Calibri" w:eastAsia="SimSun" w:hAnsi="Calibri" w:cs="Times New Roman" w:hint="eastAsia"/>
                <w:color w:val="000000"/>
              </w:rPr>
              <w:t>,2013,201</w:t>
            </w:r>
            <w:r>
              <w:rPr>
                <w:rFonts w:ascii="Calibri" w:eastAsia="SimSun" w:hAnsi="Calibri" w:cs="Times New Roman"/>
                <w:color w:val="000000"/>
              </w:rPr>
              <w:t>4</w:t>
            </w:r>
            <w:r>
              <w:rPr>
                <w:rFonts w:ascii="Calibri" w:eastAsia="SimSun" w:hAnsi="Calibri" w:cs="Times New Roman" w:hint="eastAsia"/>
                <w:color w:val="000000"/>
              </w:rPr>
              <w:t>,2015,201</w:t>
            </w:r>
            <w:r>
              <w:rPr>
                <w:rFonts w:ascii="Calibri" w:eastAsia="SimSun" w:hAnsi="Calibri" w:cs="Times New Roman"/>
                <w:color w:val="000000"/>
              </w:rPr>
              <w:t>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404C693E"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8</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4E6E543A"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w:t>
            </w:r>
            <w:r>
              <w:rPr>
                <w:rFonts w:ascii="Calibri" w:eastAsia="SimSun" w:hAnsi="Calibri" w:cs="Times New Roman"/>
                <w:color w:val="000000"/>
              </w:rPr>
              <w:t>0</w:t>
            </w:r>
            <w:r>
              <w:rPr>
                <w:rFonts w:ascii="Calibri" w:eastAsia="SimSun" w:hAnsi="Calibri" w:cs="Times New Roman" w:hint="eastAsia"/>
                <w:color w:val="000000"/>
              </w:rPr>
              <w:t>5/</w:t>
            </w:r>
            <w:r>
              <w:rPr>
                <w:rFonts w:ascii="Calibri" w:eastAsia="SimSun" w:hAnsi="Calibri" w:cs="Times New Roman"/>
                <w:color w:val="000000"/>
              </w:rPr>
              <w:t>0</w:t>
            </w:r>
            <w:r>
              <w:rPr>
                <w:rFonts w:ascii="Calibri" w:eastAsia="SimSun" w:hAnsi="Calibri" w:cs="Times New Roman" w:hint="eastAsia"/>
                <w:color w:val="000000"/>
              </w:rPr>
              <w:t>6,</w:t>
            </w:r>
            <w:r>
              <w:rPr>
                <w:rFonts w:ascii="Calibri" w:eastAsia="SimSun" w:hAnsi="Calibri" w:cs="Times New Roman"/>
                <w:color w:val="000000"/>
              </w:rPr>
              <w:t xml:space="preserve"> 2007, 2011, 2012, </w:t>
            </w:r>
            <w:r>
              <w:rPr>
                <w:rFonts w:ascii="Calibri" w:eastAsia="SimSun" w:hAnsi="Calibri" w:cs="Times New Roman" w:hint="eastAsia"/>
                <w:color w:val="000000"/>
              </w:rPr>
              <w:t>2014/15,</w:t>
            </w:r>
            <w:r>
              <w:rPr>
                <w:rFonts w:ascii="Calibri" w:eastAsia="SimSun" w:hAnsi="Calibri" w:cs="Times New Roman"/>
                <w:color w:val="000000"/>
              </w:rPr>
              <w:t xml:space="preserve"> </w:t>
            </w:r>
            <w:r>
              <w:rPr>
                <w:rFonts w:ascii="Calibri" w:eastAsia="SimSun" w:hAnsi="Calibri" w:cs="Times New Roman" w:hint="eastAsia"/>
                <w:color w:val="000000"/>
              </w:rPr>
              <w:t>20</w:t>
            </w:r>
            <w:r>
              <w:rPr>
                <w:rFonts w:ascii="Calibri" w:eastAsia="SimSun" w:hAnsi="Calibri" w:cs="Times New Roman"/>
                <w:color w:val="000000"/>
              </w:rPr>
              <w:t>1</w:t>
            </w:r>
            <w:r>
              <w:rPr>
                <w:rFonts w:ascii="Calibri" w:eastAsia="SimSun" w:hAnsi="Calibri" w:cs="Times New Roman" w:hint="eastAsia"/>
                <w:color w:val="000000"/>
              </w:rPr>
              <w:t>5/</w:t>
            </w:r>
            <w:r>
              <w:rPr>
                <w:rFonts w:ascii="Calibri" w:eastAsia="SimSun" w:hAnsi="Calibri" w:cs="Times New Roman"/>
                <w:color w:val="000000"/>
              </w:rPr>
              <w:t>1</w:t>
            </w:r>
            <w:r>
              <w:rPr>
                <w:rFonts w:ascii="Calibri" w:eastAsia="SimSun" w:hAnsi="Calibri" w:cs="Times New Roman" w:hint="eastAsia"/>
                <w:color w:val="000000"/>
              </w:rPr>
              <w:t>6</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79A213B4"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45,407</w:t>
            </w:r>
          </w:p>
        </w:tc>
      </w:tr>
      <w:tr w:rsidR="00CF0142" w14:paraId="1CEEB07B"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985BFF8"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5B225ADE"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Female</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5004E551"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w:t>
            </w:r>
            <w:r>
              <w:rPr>
                <w:rFonts w:ascii="Calibri" w:eastAsia="SimSun" w:hAnsi="Calibri" w:cs="Times New Roman"/>
                <w:color w:val="000000"/>
              </w:rPr>
              <w:t>0</w:t>
            </w:r>
            <w:r>
              <w:rPr>
                <w:rFonts w:ascii="Calibri" w:eastAsia="SimSun" w:hAnsi="Calibri" w:cs="Times New Roman" w:hint="eastAsia"/>
                <w:color w:val="000000"/>
              </w:rPr>
              <w:t>,</w:t>
            </w:r>
            <w:r>
              <w:rPr>
                <w:rFonts w:ascii="Calibri" w:eastAsia="SimSun" w:hAnsi="Calibri" w:cs="Times New Roman"/>
                <w:color w:val="000000"/>
              </w:rPr>
              <w:t xml:space="preserve"> </w:t>
            </w:r>
            <w:r>
              <w:rPr>
                <w:rFonts w:ascii="Calibri" w:eastAsia="SimSun" w:hAnsi="Calibri" w:cs="Times New Roman" w:hint="eastAsia"/>
                <w:color w:val="000000"/>
              </w:rPr>
              <w:t>201</w:t>
            </w:r>
            <w:r>
              <w:rPr>
                <w:rFonts w:ascii="Calibri" w:eastAsia="SimSun" w:hAnsi="Calibri" w:cs="Times New Roman"/>
                <w:color w:val="000000"/>
              </w:rPr>
              <w:t>2</w:t>
            </w:r>
            <w:r>
              <w:rPr>
                <w:rFonts w:ascii="Calibri" w:eastAsia="SimSun" w:hAnsi="Calibri" w:cs="Times New Roman" w:hint="eastAsia"/>
                <w:color w:val="000000"/>
              </w:rPr>
              <w:t>,2013,201</w:t>
            </w:r>
            <w:r>
              <w:rPr>
                <w:rFonts w:ascii="Calibri" w:eastAsia="SimSun" w:hAnsi="Calibri" w:cs="Times New Roman"/>
                <w:color w:val="000000"/>
              </w:rPr>
              <w:t>4</w:t>
            </w:r>
            <w:r>
              <w:rPr>
                <w:rFonts w:ascii="Calibri" w:eastAsia="SimSun" w:hAnsi="Calibri" w:cs="Times New Roman" w:hint="eastAsia"/>
                <w:color w:val="000000"/>
              </w:rPr>
              <w:t>,2015,201</w:t>
            </w:r>
            <w:r>
              <w:rPr>
                <w:rFonts w:ascii="Calibri" w:eastAsia="SimSun" w:hAnsi="Calibri" w:cs="Times New Roman"/>
                <w:color w:val="000000"/>
              </w:rPr>
              <w:t>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66DE3921"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8</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7642859F"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w:t>
            </w:r>
            <w:r>
              <w:rPr>
                <w:rFonts w:ascii="Calibri" w:eastAsia="SimSun" w:hAnsi="Calibri" w:cs="Times New Roman"/>
                <w:color w:val="000000"/>
              </w:rPr>
              <w:t>0</w:t>
            </w:r>
            <w:r>
              <w:rPr>
                <w:rFonts w:ascii="Calibri" w:eastAsia="SimSun" w:hAnsi="Calibri" w:cs="Times New Roman" w:hint="eastAsia"/>
                <w:color w:val="000000"/>
              </w:rPr>
              <w:t>5/</w:t>
            </w:r>
            <w:r>
              <w:rPr>
                <w:rFonts w:ascii="Calibri" w:eastAsia="SimSun" w:hAnsi="Calibri" w:cs="Times New Roman"/>
                <w:color w:val="000000"/>
              </w:rPr>
              <w:t>0</w:t>
            </w:r>
            <w:r>
              <w:rPr>
                <w:rFonts w:ascii="Calibri" w:eastAsia="SimSun" w:hAnsi="Calibri" w:cs="Times New Roman" w:hint="eastAsia"/>
                <w:color w:val="000000"/>
              </w:rPr>
              <w:t>6,</w:t>
            </w:r>
            <w:r>
              <w:rPr>
                <w:rFonts w:ascii="Calibri" w:eastAsia="SimSun" w:hAnsi="Calibri" w:cs="Times New Roman"/>
                <w:color w:val="000000"/>
              </w:rPr>
              <w:t xml:space="preserve"> 2007, 2011, 2012, </w:t>
            </w:r>
            <w:r>
              <w:rPr>
                <w:rFonts w:ascii="Calibri" w:eastAsia="SimSun" w:hAnsi="Calibri" w:cs="Times New Roman" w:hint="eastAsia"/>
                <w:color w:val="000000"/>
              </w:rPr>
              <w:t>2014/15,</w:t>
            </w:r>
            <w:r>
              <w:rPr>
                <w:rFonts w:ascii="Calibri" w:eastAsia="SimSun" w:hAnsi="Calibri" w:cs="Times New Roman"/>
                <w:color w:val="000000"/>
              </w:rPr>
              <w:t xml:space="preserve"> </w:t>
            </w:r>
            <w:r>
              <w:rPr>
                <w:rFonts w:ascii="Calibri" w:eastAsia="SimSun" w:hAnsi="Calibri" w:cs="Times New Roman" w:hint="eastAsia"/>
                <w:color w:val="000000"/>
              </w:rPr>
              <w:t>20</w:t>
            </w:r>
            <w:r>
              <w:rPr>
                <w:rFonts w:ascii="Calibri" w:eastAsia="SimSun" w:hAnsi="Calibri" w:cs="Times New Roman"/>
                <w:color w:val="000000"/>
              </w:rPr>
              <w:t>1</w:t>
            </w:r>
            <w:r>
              <w:rPr>
                <w:rFonts w:ascii="Calibri" w:eastAsia="SimSun" w:hAnsi="Calibri" w:cs="Times New Roman" w:hint="eastAsia"/>
                <w:color w:val="000000"/>
              </w:rPr>
              <w:t>5/</w:t>
            </w:r>
            <w:r>
              <w:rPr>
                <w:rFonts w:ascii="Calibri" w:eastAsia="SimSun" w:hAnsi="Calibri" w:cs="Times New Roman"/>
                <w:color w:val="000000"/>
              </w:rPr>
              <w:t>1</w:t>
            </w:r>
            <w:r>
              <w:rPr>
                <w:rFonts w:ascii="Calibri" w:eastAsia="SimSun" w:hAnsi="Calibri" w:cs="Times New Roman" w:hint="eastAsia"/>
                <w:color w:val="000000"/>
              </w:rPr>
              <w:t>6</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710D0E68"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45,407</w:t>
            </w:r>
          </w:p>
        </w:tc>
      </w:tr>
      <w:tr w:rsidR="00CF0142" w14:paraId="4D5B347D" w14:textId="77777777" w:rsidTr="00D85732">
        <w:trPr>
          <w:gridAfter w:val="1"/>
          <w:wAfter w:w="19" w:type="dxa"/>
          <w:trHeight w:val="285"/>
        </w:trPr>
        <w:tc>
          <w:tcPr>
            <w:tcW w:w="7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BF52C8A"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p>
        </w:tc>
        <w:tc>
          <w:tcPr>
            <w:tcW w:w="746" w:type="dxa"/>
            <w:tcBorders>
              <w:top w:val="nil"/>
              <w:left w:val="nil"/>
              <w:bottom w:val="single" w:sz="4" w:space="0" w:color="auto"/>
              <w:right w:val="single" w:sz="4" w:space="0" w:color="auto"/>
            </w:tcBorders>
            <w:tcMar>
              <w:top w:w="15" w:type="dxa"/>
              <w:left w:w="15" w:type="dxa"/>
              <w:bottom w:w="0" w:type="dxa"/>
              <w:right w:w="15" w:type="dxa"/>
            </w:tcMar>
            <w:vAlign w:val="bottom"/>
          </w:tcPr>
          <w:p w14:paraId="57BA530B"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Mix/Both</w:t>
            </w:r>
          </w:p>
        </w:tc>
        <w:tc>
          <w:tcPr>
            <w:tcW w:w="21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2210AD95"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201</w:t>
            </w:r>
            <w:r>
              <w:rPr>
                <w:rFonts w:ascii="Calibri" w:eastAsia="SimSun" w:hAnsi="Calibri" w:cs="Times New Roman"/>
                <w:color w:val="000000"/>
              </w:rPr>
              <w:t>0</w:t>
            </w:r>
            <w:r>
              <w:rPr>
                <w:rFonts w:ascii="Calibri" w:eastAsia="SimSun" w:hAnsi="Calibri" w:cs="Times New Roman" w:hint="eastAsia"/>
                <w:color w:val="000000"/>
              </w:rPr>
              <w:t>,</w:t>
            </w:r>
            <w:r>
              <w:rPr>
                <w:rFonts w:ascii="Calibri" w:eastAsia="SimSun" w:hAnsi="Calibri" w:cs="Times New Roman"/>
                <w:color w:val="000000"/>
              </w:rPr>
              <w:t xml:space="preserve"> </w:t>
            </w:r>
            <w:r>
              <w:rPr>
                <w:rFonts w:ascii="Calibri" w:eastAsia="SimSun" w:hAnsi="Calibri" w:cs="Times New Roman" w:hint="eastAsia"/>
                <w:color w:val="000000"/>
              </w:rPr>
              <w:t>201</w:t>
            </w:r>
            <w:r>
              <w:rPr>
                <w:rFonts w:ascii="Calibri" w:eastAsia="SimSun" w:hAnsi="Calibri" w:cs="Times New Roman"/>
                <w:color w:val="000000"/>
              </w:rPr>
              <w:t>2</w:t>
            </w:r>
            <w:r>
              <w:rPr>
                <w:rFonts w:ascii="Calibri" w:eastAsia="SimSun" w:hAnsi="Calibri" w:cs="Times New Roman" w:hint="eastAsia"/>
                <w:color w:val="000000"/>
              </w:rPr>
              <w:t>,2013,201</w:t>
            </w:r>
            <w:r>
              <w:rPr>
                <w:rFonts w:ascii="Calibri" w:eastAsia="SimSun" w:hAnsi="Calibri" w:cs="Times New Roman"/>
                <w:color w:val="000000"/>
              </w:rPr>
              <w:t>4</w:t>
            </w:r>
            <w:r>
              <w:rPr>
                <w:rFonts w:ascii="Calibri" w:eastAsia="SimSun" w:hAnsi="Calibri" w:cs="Times New Roman" w:hint="eastAsia"/>
                <w:color w:val="000000"/>
              </w:rPr>
              <w:t>,2015,201</w:t>
            </w:r>
            <w:r>
              <w:rPr>
                <w:rFonts w:ascii="Calibri" w:eastAsia="SimSun" w:hAnsi="Calibri" w:cs="Times New Roman"/>
                <w:color w:val="000000"/>
              </w:rPr>
              <w:t>8</w:t>
            </w:r>
          </w:p>
        </w:tc>
        <w:tc>
          <w:tcPr>
            <w:tcW w:w="1553" w:type="dxa"/>
            <w:tcBorders>
              <w:top w:val="nil"/>
              <w:left w:val="nil"/>
              <w:bottom w:val="single" w:sz="4" w:space="0" w:color="auto"/>
              <w:right w:val="single" w:sz="4" w:space="0" w:color="auto"/>
            </w:tcBorders>
            <w:tcMar>
              <w:top w:w="15" w:type="dxa"/>
              <w:left w:w="15" w:type="dxa"/>
              <w:bottom w:w="0" w:type="dxa"/>
              <w:right w:w="15" w:type="dxa"/>
            </w:tcMar>
            <w:vAlign w:val="bottom"/>
          </w:tcPr>
          <w:p w14:paraId="74DFE5C6" w14:textId="77777777" w:rsidR="00CF0142" w:rsidRDefault="00CF0142" w:rsidP="00D85732">
            <w:pPr>
              <w:rPr>
                <w:rFonts w:ascii="Calibri" w:eastAsia="SimSun" w:hAnsi="Calibri" w:cs="Times New Roman"/>
                <w:color w:val="000000"/>
              </w:rPr>
            </w:pPr>
            <w:r>
              <w:rPr>
                <w:rFonts w:ascii="Calibri" w:eastAsia="SimSun" w:hAnsi="Calibri" w:cs="Times New Roman"/>
                <w:color w:val="000000"/>
              </w:rPr>
              <w:t> </w:t>
            </w:r>
            <w:r>
              <w:rPr>
                <w:rFonts w:ascii="Calibri" w:eastAsia="SimSun" w:hAnsi="Calibri" w:cs="Times New Roman" w:hint="eastAsia"/>
                <w:color w:val="000000"/>
              </w:rPr>
              <w:t>8</w:t>
            </w:r>
          </w:p>
        </w:tc>
        <w:tc>
          <w:tcPr>
            <w:tcW w:w="1365"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4C7EC30E"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20</w:t>
            </w:r>
            <w:r>
              <w:rPr>
                <w:rFonts w:ascii="Calibri" w:eastAsia="SimSun" w:hAnsi="Calibri" w:cs="Times New Roman"/>
                <w:color w:val="000000"/>
              </w:rPr>
              <w:t>0</w:t>
            </w:r>
            <w:r>
              <w:rPr>
                <w:rFonts w:ascii="Calibri" w:eastAsia="SimSun" w:hAnsi="Calibri" w:cs="Times New Roman" w:hint="eastAsia"/>
                <w:color w:val="000000"/>
              </w:rPr>
              <w:t>5/</w:t>
            </w:r>
            <w:r>
              <w:rPr>
                <w:rFonts w:ascii="Calibri" w:eastAsia="SimSun" w:hAnsi="Calibri" w:cs="Times New Roman"/>
                <w:color w:val="000000"/>
              </w:rPr>
              <w:t>0</w:t>
            </w:r>
            <w:r>
              <w:rPr>
                <w:rFonts w:ascii="Calibri" w:eastAsia="SimSun" w:hAnsi="Calibri" w:cs="Times New Roman" w:hint="eastAsia"/>
                <w:color w:val="000000"/>
              </w:rPr>
              <w:t>6,</w:t>
            </w:r>
            <w:r>
              <w:rPr>
                <w:rFonts w:ascii="Calibri" w:eastAsia="SimSun" w:hAnsi="Calibri" w:cs="Times New Roman"/>
                <w:color w:val="000000"/>
              </w:rPr>
              <w:t xml:space="preserve"> 2007, 2011, 2012, </w:t>
            </w:r>
            <w:r>
              <w:rPr>
                <w:rFonts w:ascii="Calibri" w:eastAsia="SimSun" w:hAnsi="Calibri" w:cs="Times New Roman" w:hint="eastAsia"/>
                <w:color w:val="000000"/>
              </w:rPr>
              <w:t>2014/15,</w:t>
            </w:r>
            <w:r>
              <w:rPr>
                <w:rFonts w:ascii="Calibri" w:eastAsia="SimSun" w:hAnsi="Calibri" w:cs="Times New Roman"/>
                <w:color w:val="000000"/>
              </w:rPr>
              <w:t xml:space="preserve"> </w:t>
            </w:r>
            <w:r>
              <w:rPr>
                <w:rFonts w:ascii="Calibri" w:eastAsia="SimSun" w:hAnsi="Calibri" w:cs="Times New Roman" w:hint="eastAsia"/>
                <w:color w:val="000000"/>
              </w:rPr>
              <w:t>20</w:t>
            </w:r>
            <w:r>
              <w:rPr>
                <w:rFonts w:ascii="Calibri" w:eastAsia="SimSun" w:hAnsi="Calibri" w:cs="Times New Roman"/>
                <w:color w:val="000000"/>
              </w:rPr>
              <w:t>1</w:t>
            </w:r>
            <w:r>
              <w:rPr>
                <w:rFonts w:ascii="Calibri" w:eastAsia="SimSun" w:hAnsi="Calibri" w:cs="Times New Roman" w:hint="eastAsia"/>
                <w:color w:val="000000"/>
              </w:rPr>
              <w:t>5/</w:t>
            </w:r>
            <w:r>
              <w:rPr>
                <w:rFonts w:ascii="Calibri" w:eastAsia="SimSun" w:hAnsi="Calibri" w:cs="Times New Roman"/>
                <w:color w:val="000000"/>
              </w:rPr>
              <w:t>1</w:t>
            </w:r>
            <w:r>
              <w:rPr>
                <w:rFonts w:ascii="Calibri" w:eastAsia="SimSun" w:hAnsi="Calibri" w:cs="Times New Roman" w:hint="eastAsia"/>
                <w:color w:val="000000"/>
              </w:rPr>
              <w:t>6</w:t>
            </w:r>
          </w:p>
        </w:tc>
        <w:tc>
          <w:tcPr>
            <w:tcW w:w="1816"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14:paraId="360DE01B" w14:textId="77777777" w:rsidR="00CF0142" w:rsidRDefault="00CF0142" w:rsidP="00D85732">
            <w:pPr>
              <w:rPr>
                <w:rFonts w:ascii="Calibri" w:eastAsia="SimSun" w:hAnsi="Calibri" w:cs="Times New Roman"/>
                <w:color w:val="000000"/>
              </w:rPr>
            </w:pPr>
            <w:r>
              <w:rPr>
                <w:rFonts w:ascii="Calibri" w:eastAsia="SimSun" w:hAnsi="Calibri" w:cs="Times New Roman" w:hint="eastAsia"/>
                <w:color w:val="000000"/>
              </w:rPr>
              <w:t>45,407</w:t>
            </w:r>
          </w:p>
        </w:tc>
      </w:tr>
    </w:tbl>
    <w:p w14:paraId="3EF98098" w14:textId="77777777" w:rsidR="00CF0142" w:rsidRDefault="00CF0142" w:rsidP="00CF0142">
      <w:pPr>
        <w:rPr>
          <w:rFonts w:ascii="Helvetica" w:eastAsia="SimSun" w:hAnsi="Helvetica" w:cs="Times New Roman"/>
          <w:sz w:val="18"/>
          <w:szCs w:val="18"/>
        </w:rPr>
      </w:pPr>
    </w:p>
    <w:p w14:paraId="04C71140" w14:textId="77777777" w:rsidR="00CF0142" w:rsidRDefault="00CF0142" w:rsidP="00CF0142">
      <w:pPr>
        <w:rPr>
          <w:rFonts w:ascii="Helvetica" w:eastAsia="SimSun" w:hAnsi="Helvetica" w:cs="Times New Roman"/>
          <w:sz w:val="18"/>
          <w:szCs w:val="18"/>
        </w:rPr>
      </w:pPr>
    </w:p>
    <w:p w14:paraId="63ED8968" w14:textId="77777777" w:rsidR="00CF0142" w:rsidRDefault="00CF0142" w:rsidP="00CF0142">
      <w:pPr>
        <w:rPr>
          <w:rFonts w:ascii="Helvetica" w:eastAsia="SimSun" w:hAnsi="Helvetica" w:cs="Times New Roman"/>
          <w:sz w:val="18"/>
          <w:szCs w:val="18"/>
        </w:rPr>
      </w:pPr>
    </w:p>
    <w:p w14:paraId="030A4BB4" w14:textId="1FDE64BC" w:rsidR="00EC6AEF" w:rsidRDefault="00EC6AEF" w:rsidP="00EC6AEF">
      <w:pPr>
        <w:spacing w:after="0" w:line="240" w:lineRule="auto"/>
        <w:rPr>
          <w:b/>
        </w:rPr>
      </w:pPr>
      <w:r>
        <w:rPr>
          <w:b/>
        </w:rPr>
        <w:br w:type="page"/>
      </w:r>
    </w:p>
    <w:p w14:paraId="3D06DAEF" w14:textId="77777777" w:rsidR="00EC6AEF" w:rsidRDefault="00EC6AEF" w:rsidP="00EC6AEF">
      <w:pPr>
        <w:spacing w:after="0" w:line="240" w:lineRule="auto"/>
        <w:jc w:val="center"/>
      </w:pPr>
      <w:r>
        <w:rPr>
          <w:b/>
        </w:rPr>
        <w:lastRenderedPageBreak/>
        <w:t>Supplementary Figure 1</w:t>
      </w:r>
      <w:r w:rsidRPr="001F1227">
        <w:rPr>
          <w:b/>
        </w:rPr>
        <w:t>. Meta-analysis forest plot</w:t>
      </w:r>
      <w:r>
        <w:rPr>
          <w:b/>
        </w:rPr>
        <w:t xml:space="preserve"> of overnutrition/undernutrition ratio</w:t>
      </w:r>
    </w:p>
    <w:p w14:paraId="4B09D28D" w14:textId="77777777" w:rsidR="00EC6AEF" w:rsidRDefault="00EC6AEF" w:rsidP="00EC6AEF">
      <w:pPr>
        <w:spacing w:after="0" w:line="240" w:lineRule="auto"/>
      </w:pPr>
      <w:r>
        <w:rPr>
          <w:noProof/>
          <w:lang w:val="en-US"/>
        </w:rPr>
        <w:drawing>
          <wp:inline distT="0" distB="0" distL="0" distR="0" wp14:anchorId="2B1C76EC" wp14:editId="7E0B144C">
            <wp:extent cx="5731510" cy="4168413"/>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lot02.tiff"/>
                    <pic:cNvPicPr/>
                  </pic:nvPicPr>
                  <pic:blipFill>
                    <a:blip r:embed="rId6"/>
                    <a:stretch>
                      <a:fillRect/>
                    </a:stretch>
                  </pic:blipFill>
                  <pic:spPr>
                    <a:xfrm>
                      <a:off x="0" y="0"/>
                      <a:ext cx="5731510" cy="4168413"/>
                    </a:xfrm>
                    <a:prstGeom prst="rect">
                      <a:avLst/>
                    </a:prstGeom>
                  </pic:spPr>
                </pic:pic>
              </a:graphicData>
            </a:graphic>
          </wp:inline>
        </w:drawing>
      </w:r>
    </w:p>
    <w:p w14:paraId="52DF3FE4" w14:textId="77777777" w:rsidR="00EC6AEF" w:rsidRDefault="00EC6AEF" w:rsidP="00EC6AEF">
      <w:pPr>
        <w:spacing w:after="0" w:line="240" w:lineRule="auto"/>
      </w:pPr>
    </w:p>
    <w:p w14:paraId="59A2F168" w14:textId="77777777" w:rsidR="00EC6AEF" w:rsidRDefault="00EC6AEF" w:rsidP="00EC6AEF">
      <w:pPr>
        <w:spacing w:after="0" w:line="240" w:lineRule="auto"/>
      </w:pPr>
    </w:p>
    <w:p w14:paraId="5B140BFB" w14:textId="77777777" w:rsidR="00EC6AEF" w:rsidRDefault="00EC6AEF" w:rsidP="00EC6AEF">
      <w:pPr>
        <w:spacing w:after="0" w:line="240" w:lineRule="auto"/>
      </w:pPr>
      <w:r>
        <w:br w:type="page"/>
      </w:r>
    </w:p>
    <w:p w14:paraId="2BDD442C" w14:textId="77777777" w:rsidR="00E23B3F" w:rsidRDefault="00E23B3F" w:rsidP="00EC6AEF">
      <w:pPr>
        <w:spacing w:after="0" w:line="240" w:lineRule="auto"/>
      </w:pPr>
    </w:p>
    <w:sectPr w:rsidR="00E23B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4C02F" w14:textId="77777777" w:rsidR="00873FF1" w:rsidRDefault="00873FF1" w:rsidP="00CF0142">
      <w:pPr>
        <w:spacing w:after="0" w:line="240" w:lineRule="auto"/>
      </w:pPr>
      <w:r>
        <w:separator/>
      </w:r>
    </w:p>
  </w:endnote>
  <w:endnote w:type="continuationSeparator" w:id="0">
    <w:p w14:paraId="6579B7EA" w14:textId="77777777" w:rsidR="00873FF1" w:rsidRDefault="00873FF1" w:rsidP="00CF0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13B8C" w14:textId="77777777" w:rsidR="00873FF1" w:rsidRDefault="00873FF1" w:rsidP="00CF0142">
      <w:pPr>
        <w:spacing w:after="0" w:line="240" w:lineRule="auto"/>
      </w:pPr>
      <w:r>
        <w:separator/>
      </w:r>
    </w:p>
  </w:footnote>
  <w:footnote w:type="continuationSeparator" w:id="0">
    <w:p w14:paraId="6CBCD55C" w14:textId="77777777" w:rsidR="00873FF1" w:rsidRDefault="00873FF1" w:rsidP="00CF01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AEF"/>
    <w:rsid w:val="00873FF1"/>
    <w:rsid w:val="00CF0142"/>
    <w:rsid w:val="00D03EB5"/>
    <w:rsid w:val="00E23B3F"/>
    <w:rsid w:val="00EC6AEF"/>
    <w:rsid w:val="00EF656C"/>
    <w:rsid w:val="00FA20C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E3D84"/>
  <w15:chartTrackingRefBased/>
  <w15:docId w15:val="{7C40B87E-9F04-4405-BADF-4FACB67C6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A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6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6A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AEF"/>
    <w:rPr>
      <w:rFonts w:ascii="Segoe UI" w:hAnsi="Segoe UI" w:cs="Segoe UI"/>
      <w:sz w:val="18"/>
      <w:szCs w:val="18"/>
    </w:rPr>
  </w:style>
  <w:style w:type="paragraph" w:styleId="Header">
    <w:name w:val="header"/>
    <w:basedOn w:val="Normal"/>
    <w:link w:val="HeaderChar"/>
    <w:uiPriority w:val="99"/>
    <w:unhideWhenUsed/>
    <w:rsid w:val="00CF0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142"/>
  </w:style>
  <w:style w:type="paragraph" w:styleId="Footer">
    <w:name w:val="footer"/>
    <w:basedOn w:val="Normal"/>
    <w:link w:val="FooterChar"/>
    <w:uiPriority w:val="99"/>
    <w:unhideWhenUsed/>
    <w:rsid w:val="00CF0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142"/>
  </w:style>
  <w:style w:type="paragraph" w:customStyle="1" w:styleId="EndNoteBibliography">
    <w:name w:val="EndNote Bibliography"/>
    <w:basedOn w:val="Normal"/>
    <w:rsid w:val="00FA20CE"/>
    <w:pPr>
      <w:spacing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1664</Words>
  <Characters>9490</Characters>
  <Application>Microsoft Office Word</Application>
  <DocSecurity>0</DocSecurity>
  <Lines>79</Lines>
  <Paragraphs>22</Paragraphs>
  <ScaleCrop>false</ScaleCrop>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Zhixian Sui</dc:creator>
  <cp:keywords/>
  <dc:description/>
  <cp:lastModifiedBy>Zhixian Sui</cp:lastModifiedBy>
  <cp:revision>3</cp:revision>
  <dcterms:created xsi:type="dcterms:W3CDTF">2019-12-05T10:54:00Z</dcterms:created>
  <dcterms:modified xsi:type="dcterms:W3CDTF">2019-12-05T10:56:00Z</dcterms:modified>
</cp:coreProperties>
</file>