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9A" w:rsidRDefault="00CE19BA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Supporting Information</w:t>
      </w:r>
    </w:p>
    <w:p w:rsidR="00FD5B9A" w:rsidRDefault="00CE19B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</w:rPr>
        <w:t>Dendrobine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Suppresses Lipopolysaccharide-induced Gut Inflammation in a Co-culture of Intestinal Epithelial Caco-2 Cells and RAW264.7 Macrophages</w:t>
      </w:r>
    </w:p>
    <w:p w:rsidR="00FD5B9A" w:rsidRDefault="00CE19B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  <w:lang w:eastAsia="en-US"/>
        </w:rPr>
        <w:drawing>
          <wp:inline distT="0" distB="0" distL="114300" distR="114300" wp14:anchorId="2A158383" wp14:editId="16630E89">
            <wp:extent cx="5940425" cy="1807210"/>
            <wp:effectExtent l="0" t="0" r="3175" b="889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 w:hint="eastAsia"/>
          <w:b/>
          <w:bCs/>
          <w:sz w:val="24"/>
        </w:rPr>
        <w:t>Figure S</w:t>
      </w:r>
      <w:r>
        <w:rPr>
          <w:rFonts w:ascii="Times New Roman" w:hAnsi="Times New Roman" w:cs="Times New Roman" w:hint="eastAsia"/>
          <w:b/>
          <w:bCs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Caco-2 monolayer</w:t>
      </w:r>
      <w:r>
        <w:rPr>
          <w:rFonts w:ascii="Times New Roman" w:hAnsi="Times New Roman" w:cs="Times New Roman" w:hint="eastAsia"/>
          <w:sz w:val="24"/>
        </w:rPr>
        <w:t xml:space="preserve"> culture. (A) TEER of </w:t>
      </w:r>
      <w:r>
        <w:rPr>
          <w:rFonts w:ascii="Times New Roman" w:hAnsi="Times New Roman" w:cs="Times New Roman"/>
          <w:sz w:val="24"/>
        </w:rPr>
        <w:t>Caco-2 monolayers</w:t>
      </w:r>
      <w:r>
        <w:rPr>
          <w:rFonts w:ascii="Times New Roman" w:hAnsi="Times New Roman" w:cs="Times New Roman" w:hint="eastAsia"/>
          <w:sz w:val="24"/>
        </w:rPr>
        <w:t xml:space="preserve"> was </w:t>
      </w:r>
      <w:r>
        <w:rPr>
          <w:rFonts w:ascii="Times New Roman" w:hAnsi="Times New Roman" w:cs="Times New Roman"/>
          <w:sz w:val="24"/>
        </w:rPr>
        <w:t>&gt;</w:t>
      </w:r>
      <w:r>
        <w:rPr>
          <w:rFonts w:ascii="Times New Roman" w:hAnsi="Times New Roman" w:cs="Times New Roman" w:hint="eastAsia"/>
          <w:sz w:val="24"/>
        </w:rPr>
        <w:t xml:space="preserve">800 </w:t>
      </w:r>
      <w:r>
        <w:rPr>
          <w:rFonts w:ascii="Times New Roman" w:hAnsi="Times New Roman" w:cs="Times New Roman"/>
          <w:sz w:val="24"/>
        </w:rPr>
        <w:t>Ω·cm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</w:t>
      </w:r>
      <w:r>
        <w:rPr>
          <w:rFonts w:ascii="Times New Roman" w:hAnsi="Times New Roman" w:cs="Times New Roman" w:hint="eastAsia"/>
          <w:sz w:val="24"/>
        </w:rPr>
        <w:t xml:space="preserve">B) </w:t>
      </w:r>
      <w:proofErr w:type="gramStart"/>
      <w:r>
        <w:rPr>
          <w:rFonts w:ascii="Times New Roman" w:hAnsi="Times New Roman" w:cs="Times New Roman" w:hint="eastAsia"/>
          <w:sz w:val="24"/>
        </w:rPr>
        <w:t>S</w:t>
      </w:r>
      <w:r>
        <w:rPr>
          <w:rFonts w:ascii="Times New Roman" w:hAnsi="Times New Roman" w:cs="Times New Roman"/>
          <w:sz w:val="24"/>
        </w:rPr>
        <w:t>odium fluorescein absorptivity.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(C) Cell viability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:rsidR="00A10CCA" w:rsidRDefault="00A10CCA">
      <w:pPr>
        <w:spacing w:line="480" w:lineRule="auto"/>
        <w:rPr>
          <w:rFonts w:ascii="Times New Roman" w:hAnsi="Times New Roman" w:cs="Times New Roman"/>
          <w:sz w:val="24"/>
        </w:rPr>
      </w:pPr>
    </w:p>
    <w:sectPr w:rsidR="00A10CCA" w:rsidSect="00FD5B9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BA" w:rsidRDefault="00CE19BA">
      <w:pPr>
        <w:spacing w:after="0" w:line="240" w:lineRule="auto"/>
      </w:pPr>
      <w:r>
        <w:separator/>
      </w:r>
    </w:p>
  </w:endnote>
  <w:endnote w:type="continuationSeparator" w:id="0">
    <w:p w:rsidR="00CE19BA" w:rsidRDefault="00CE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80672"/>
    </w:sdtPr>
    <w:sdtEndPr/>
    <w:sdtContent>
      <w:p w:rsidR="00FD5B9A" w:rsidRDefault="00CE19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5F8">
          <w:rPr>
            <w:noProof/>
          </w:rPr>
          <w:t>1</w:t>
        </w:r>
        <w:r>
          <w:fldChar w:fldCharType="end"/>
        </w:r>
      </w:p>
    </w:sdtContent>
  </w:sdt>
  <w:p w:rsidR="00FD5B9A" w:rsidRDefault="00FD5B9A">
    <w:pPr>
      <w:pStyle w:val="Footer"/>
    </w:pPr>
  </w:p>
  <w:p w:rsidR="00A10CCA" w:rsidRDefault="00A10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BA" w:rsidRDefault="00CE19BA">
      <w:pPr>
        <w:spacing w:after="0" w:line="240" w:lineRule="auto"/>
      </w:pPr>
      <w:r>
        <w:separator/>
      </w:r>
    </w:p>
  </w:footnote>
  <w:footnote w:type="continuationSeparator" w:id="0">
    <w:p w:rsidR="00CE19BA" w:rsidRDefault="00CE1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3D"/>
    <w:rsid w:val="001C473D"/>
    <w:rsid w:val="00340427"/>
    <w:rsid w:val="00362736"/>
    <w:rsid w:val="008735A1"/>
    <w:rsid w:val="009A7841"/>
    <w:rsid w:val="00A10CCA"/>
    <w:rsid w:val="00A215F8"/>
    <w:rsid w:val="00B57AA5"/>
    <w:rsid w:val="00CE19BA"/>
    <w:rsid w:val="00FD5B9A"/>
    <w:rsid w:val="0AD06528"/>
    <w:rsid w:val="27025057"/>
    <w:rsid w:val="4B202B90"/>
    <w:rsid w:val="5D021A6F"/>
    <w:rsid w:val="5DB441F3"/>
    <w:rsid w:val="6ED8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kern w:val="2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kern w:val="2"/>
      <w:sz w:val="21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kern w:val="2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EastAsia"/>
      <w:kern w:val="2"/>
      <w:sz w:val="21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BAEF0-2BDA-4E53-8EC8-7789AF040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Saranya</cp:lastModifiedBy>
  <cp:revision>5</cp:revision>
  <dcterms:created xsi:type="dcterms:W3CDTF">2020-06-11T18:20:00Z</dcterms:created>
  <dcterms:modified xsi:type="dcterms:W3CDTF">2021-04-15T07:45:00Z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